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2EA" w:rsidRPr="00BC36B7" w:rsidRDefault="007172EA" w:rsidP="007172EA">
      <w:pPr>
        <w:jc w:val="center"/>
        <w:rPr>
          <w:rFonts w:ascii="Baskerville Old Face" w:hAnsi="Baskerville Old Face"/>
          <w:color w:val="FF0000"/>
          <w:sz w:val="28"/>
          <w:szCs w:val="24"/>
          <w:u w:val="single"/>
        </w:rPr>
      </w:pPr>
      <w:r w:rsidRPr="00BC36B7">
        <w:rPr>
          <w:rFonts w:ascii="Baskerville Old Face" w:hAnsi="Baskerville Old Face"/>
          <w:b/>
          <w:bCs/>
          <w:sz w:val="28"/>
          <w:szCs w:val="24"/>
          <w:u w:val="single"/>
        </w:rPr>
        <w:t>Paper-17: Strategic Performance Management</w:t>
      </w:r>
    </w:p>
    <w:p w:rsidR="00144024" w:rsidRPr="001B00A2" w:rsidRDefault="00144024">
      <w:pPr>
        <w:rPr>
          <w:b/>
          <w:color w:val="FF0000"/>
          <w:sz w:val="24"/>
          <w:szCs w:val="24"/>
          <w:u w:val="single"/>
        </w:rPr>
      </w:pPr>
      <w:r w:rsidRPr="001B00A2">
        <w:rPr>
          <w:b/>
          <w:color w:val="FF0000"/>
          <w:sz w:val="24"/>
          <w:szCs w:val="24"/>
          <w:u w:val="single"/>
        </w:rPr>
        <w:t>Case study -1</w:t>
      </w:r>
    </w:p>
    <w:p w:rsidR="00144024" w:rsidRPr="00BC36B7" w:rsidRDefault="00144024" w:rsidP="00144024">
      <w:pPr>
        <w:pStyle w:val="Default"/>
        <w:rPr>
          <w:rFonts w:asciiTheme="minorHAnsi" w:hAnsiTheme="minorHAnsi"/>
        </w:rPr>
      </w:pPr>
      <w:r w:rsidRPr="00BC36B7">
        <w:rPr>
          <w:rFonts w:asciiTheme="minorHAnsi" w:hAnsiTheme="minorHAnsi"/>
          <w:b/>
          <w:bCs/>
        </w:rPr>
        <w:t xml:space="preserve">Answer: </w:t>
      </w:r>
    </w:p>
    <w:p w:rsidR="00144024" w:rsidRPr="00BC36B7" w:rsidRDefault="00144024" w:rsidP="00144024">
      <w:pPr>
        <w:pStyle w:val="Default"/>
        <w:rPr>
          <w:rFonts w:asciiTheme="minorHAnsi" w:hAnsiTheme="minorHAnsi"/>
        </w:rPr>
      </w:pPr>
      <w:r w:rsidRPr="00BC36B7">
        <w:rPr>
          <w:rFonts w:asciiTheme="minorHAnsi" w:hAnsiTheme="minorHAnsi"/>
        </w:rPr>
        <w:t xml:space="preserve">(a)Jelly Belly's search for a new employee performance and talent management system began several years ago, when two branches of the family business were reunited into a single company. One branch was using an outdated performance management software program. The other was doing its employee performance appraisals manually, using paper forms. </w:t>
      </w:r>
    </w:p>
    <w:p w:rsidR="00144024" w:rsidRPr="00BC36B7" w:rsidRDefault="00144024" w:rsidP="00144024">
      <w:pPr>
        <w:rPr>
          <w:sz w:val="24"/>
          <w:szCs w:val="24"/>
        </w:rPr>
      </w:pPr>
      <w:r w:rsidRPr="00BC36B7">
        <w:rPr>
          <w:sz w:val="24"/>
          <w:szCs w:val="24"/>
        </w:rPr>
        <w:t xml:space="preserve">Having a variety of jelly bean flavors is great — a variety of employee appraisal processes in a single company is not. The task of updating and consolidating the performance management process fell to Margie Poulos, HR Manager of Jelly Belly's Midwest operations. She and a small team of Jelly Belly HR staff were charged with finding a single automated system that could be used for all of Jelly Belly's 600 employees in three locations. The driving factor behind Jelly Belly's performance management automation was the belief that thorough, accurate reviews help employees to better understand what's expected of them, so that they can set clear, measurable objectives. That translates into higher employee satisfaction, said Jeff Brown, Jelly Belly's Director of Human Resources. "When employees feel they have gotten a thorough and accurate review, it boosts their morale," Brown said. It also leads to improved talent management and makes it easier to retain valuable employees, which management experts know is a key factor in corporate growth and market leadership. </w:t>
      </w:r>
    </w:p>
    <w:p w:rsidR="00144024" w:rsidRPr="00BC36B7" w:rsidRDefault="00144024" w:rsidP="00144024">
      <w:pPr>
        <w:pStyle w:val="Default"/>
        <w:rPr>
          <w:rFonts w:asciiTheme="minorHAnsi" w:hAnsiTheme="minorHAnsi"/>
        </w:rPr>
      </w:pPr>
      <w:r w:rsidRPr="00BC36B7">
        <w:rPr>
          <w:rFonts w:asciiTheme="minorHAnsi" w:hAnsiTheme="minorHAnsi"/>
        </w:rPr>
        <w:t xml:space="preserve">(b) To meet their strategic goals, Poulos and her team drew up a list of the criteria that a new system had to meet. Top on the list was ease of use. "We didn't want to end up with a system that is so complicated that the managers wouldn't use it," Poulos said. A new system also had to save time. Because employees were in multiple locations, it needed to be web-based for accessibility. And it had to be flexible, easily incorporating core competencies into different forms. </w:t>
      </w:r>
    </w:p>
    <w:p w:rsidR="00144024" w:rsidRPr="00BC36B7" w:rsidRDefault="00144024" w:rsidP="00144024">
      <w:pPr>
        <w:pStyle w:val="Default"/>
        <w:rPr>
          <w:rFonts w:asciiTheme="minorHAnsi" w:hAnsiTheme="minorHAnsi"/>
        </w:rPr>
      </w:pPr>
      <w:r w:rsidRPr="00BC36B7">
        <w:rPr>
          <w:rFonts w:asciiTheme="minorHAnsi" w:hAnsiTheme="minorHAnsi"/>
        </w:rPr>
        <w:t xml:space="preserve">Jelly Belly's selection committee looked at products from different software vendors. "We eliminated right away those that were geared to very large companies and those that were not web-based," Poulos said. "We also eliminated those that offered too many options for customization. It's one thing to offer options, but another thing when the product requires so much customization that it becomes overwhelming." </w:t>
      </w:r>
    </w:p>
    <w:p w:rsidR="00144024" w:rsidRPr="00BC36B7" w:rsidRDefault="00144024" w:rsidP="00144024">
      <w:pPr>
        <w:pStyle w:val="Default"/>
        <w:rPr>
          <w:rFonts w:asciiTheme="minorHAnsi" w:hAnsiTheme="minorHAnsi"/>
        </w:rPr>
      </w:pPr>
      <w:r w:rsidRPr="00BC36B7">
        <w:rPr>
          <w:rFonts w:asciiTheme="minorHAnsi" w:hAnsiTheme="minorHAnsi"/>
        </w:rPr>
        <w:t xml:space="preserve">The committee selected Halogen eAppraisal, a web-based application for managing employee performance from Halogen Software. "We liked the way it looked, and we really liked the user-friendliness of it. It's easy for the managers to use and it's customizable without overwhelming them," Poulos said. After two days of training by Halogen staff, four members of Jelly Belly's HR team set out to train the company's supervisors on the new system. About 50 managers received a crash course in using Halogen eAppraisal, and then used it to complete annual employee evaluations in May. Jelly Belly's HR team is now customizing the software to include more relevant competencies and to respond to comments from managers and staff on the new system. </w:t>
      </w:r>
    </w:p>
    <w:p w:rsidR="00144024" w:rsidRPr="00BC36B7" w:rsidRDefault="00144024" w:rsidP="00144024">
      <w:pPr>
        <w:pStyle w:val="Default"/>
        <w:rPr>
          <w:rFonts w:asciiTheme="minorHAnsi" w:hAnsiTheme="minorHAnsi"/>
        </w:rPr>
      </w:pPr>
      <w:r w:rsidRPr="00BC36B7">
        <w:rPr>
          <w:rFonts w:asciiTheme="minorHAnsi" w:hAnsiTheme="minorHAnsi"/>
        </w:rPr>
        <w:t xml:space="preserve">"The feedback has been really positive, from both managers and employees as well. Some staff said this was the best appraisal they've had," Poulos said, "They felt the evaluations were fair and realistic, and supervisors had the scope to provide more relevant and legitimate comments than they could before. Rather than just clicking on a bunch of canned comments, they were accurately reviewing the employee." </w:t>
      </w:r>
    </w:p>
    <w:p w:rsidR="00144024" w:rsidRPr="00BC36B7" w:rsidRDefault="00144024" w:rsidP="00144024">
      <w:pPr>
        <w:pStyle w:val="Default"/>
        <w:rPr>
          <w:rFonts w:asciiTheme="minorHAnsi" w:hAnsiTheme="minorHAnsi"/>
        </w:rPr>
      </w:pPr>
      <w:r w:rsidRPr="00BC36B7">
        <w:rPr>
          <w:rFonts w:asciiTheme="minorHAnsi" w:hAnsiTheme="minorHAnsi"/>
        </w:rPr>
        <w:lastRenderedPageBreak/>
        <w:t xml:space="preserve">(c) The new automated employee performance appraisal system has completely formalized and organized Jelly Belly's employee evaluation process. "It allows us to standardize competencies across job classifications, add signature and comment sections to make our process more interactive, and increase accessibility for remote managers," Brown said. </w:t>
      </w:r>
    </w:p>
    <w:p w:rsidR="00144024" w:rsidRPr="00BC36B7" w:rsidRDefault="00144024" w:rsidP="00144024">
      <w:pPr>
        <w:pStyle w:val="Default"/>
        <w:rPr>
          <w:rFonts w:asciiTheme="minorHAnsi" w:hAnsiTheme="minorHAnsi"/>
        </w:rPr>
      </w:pPr>
      <w:r w:rsidRPr="00BC36B7">
        <w:rPr>
          <w:rFonts w:asciiTheme="minorHAnsi" w:hAnsiTheme="minorHAnsi"/>
        </w:rPr>
        <w:t xml:space="preserve">Under Jelly Belly's old system, employees conducting reviews started from scratch once a year with new performance journals. Halogen eAppraisal will let them log notes throughout the year and regularly update their on-line appraisals. Employees use one consistent employee evaluation form to add comments and to sign their appraisals. </w:t>
      </w:r>
    </w:p>
    <w:p w:rsidR="00144024" w:rsidRPr="00BC36B7" w:rsidRDefault="00144024" w:rsidP="00144024">
      <w:pPr>
        <w:rPr>
          <w:sz w:val="24"/>
          <w:szCs w:val="24"/>
        </w:rPr>
      </w:pPr>
      <w:r w:rsidRPr="00BC36B7">
        <w:rPr>
          <w:sz w:val="24"/>
          <w:szCs w:val="24"/>
        </w:rPr>
        <w:t>The web-based product helps remote and traveling managers maintain access to the forms and the data they need to evaluate their staff. "In our old system, a few folks in Chicago would have access to the system. But we have managers in California with Chicago subordinates. It's important that they can share the same forms across the board. And we have folks who are on the road a lot or are working out of home offices, so having them be able to access this is a huge point for us," Brown explained.</w:t>
      </w:r>
    </w:p>
    <w:p w:rsidR="00144024" w:rsidRPr="00BC36B7" w:rsidRDefault="00144024" w:rsidP="00144024">
      <w:pPr>
        <w:pStyle w:val="Default"/>
        <w:rPr>
          <w:rFonts w:asciiTheme="minorHAnsi" w:hAnsiTheme="minorHAnsi"/>
        </w:rPr>
      </w:pPr>
      <w:r w:rsidRPr="00BC36B7">
        <w:rPr>
          <w:rFonts w:asciiTheme="minorHAnsi" w:hAnsiTheme="minorHAnsi"/>
        </w:rPr>
        <w:t xml:space="preserve">Organizing and automating the appraisal process results in performance appraisals that are more accurate and fair, Brown noted. "This is important because, after all, an employee appraisal is a legal document," he said. </w:t>
      </w:r>
    </w:p>
    <w:p w:rsidR="00144024" w:rsidRPr="00BC36B7" w:rsidRDefault="00144024" w:rsidP="00144024">
      <w:pPr>
        <w:pStyle w:val="Default"/>
        <w:rPr>
          <w:rFonts w:asciiTheme="minorHAnsi" w:hAnsiTheme="minorHAnsi"/>
        </w:rPr>
      </w:pPr>
      <w:r w:rsidRPr="00BC36B7">
        <w:rPr>
          <w:rFonts w:asciiTheme="minorHAnsi" w:hAnsiTheme="minorHAnsi"/>
        </w:rPr>
        <w:t xml:space="preserve">The new system is also helping Jelly Belly track training requirements and development in its staff, Poulos added. "We've always had a separate training manual. Now we can go in to the evaluations and more easily monitor employees' skills development, see what training is needed by individuals and check the due dates for training and renewal. That makes it much easier for us to keep track," Poulos noted. </w:t>
      </w:r>
    </w:p>
    <w:p w:rsidR="00144024" w:rsidRPr="00BC36B7" w:rsidRDefault="00144024" w:rsidP="00144024">
      <w:pPr>
        <w:rPr>
          <w:sz w:val="24"/>
          <w:szCs w:val="24"/>
        </w:rPr>
      </w:pPr>
      <w:r w:rsidRPr="00BC36B7">
        <w:rPr>
          <w:sz w:val="24"/>
          <w:szCs w:val="24"/>
        </w:rPr>
        <w:t>The new employee performance and talent management system has proven to be a big time-saver for Jelly Belly's HR team. "Since this year was the first time using the new system, it took us a little longer than it will next year. But the process was a whole lot faster," Poulos said. "It has already saved us a lot of time, and we got everybody's appraisals done in one shot." The new system is also helping Jelly Belly to better align employee goals with the company's business objectives. And for one of America's best-known candy companies, it doesn't get any sweeter than that.</w:t>
      </w:r>
    </w:p>
    <w:p w:rsidR="009F1B6D" w:rsidRDefault="009F1B6D">
      <w:pPr>
        <w:rPr>
          <w:sz w:val="24"/>
          <w:szCs w:val="24"/>
        </w:rPr>
      </w:pPr>
    </w:p>
    <w:p w:rsidR="001B00A2" w:rsidRDefault="001B00A2">
      <w:pPr>
        <w:rPr>
          <w:sz w:val="24"/>
          <w:szCs w:val="24"/>
        </w:rPr>
      </w:pPr>
    </w:p>
    <w:p w:rsidR="001B00A2" w:rsidRDefault="001B00A2">
      <w:pPr>
        <w:rPr>
          <w:sz w:val="24"/>
          <w:szCs w:val="24"/>
        </w:rPr>
      </w:pPr>
    </w:p>
    <w:p w:rsidR="001B00A2" w:rsidRDefault="001B00A2">
      <w:pPr>
        <w:rPr>
          <w:sz w:val="24"/>
          <w:szCs w:val="24"/>
        </w:rPr>
      </w:pPr>
    </w:p>
    <w:p w:rsidR="001B00A2" w:rsidRDefault="001B00A2">
      <w:pPr>
        <w:rPr>
          <w:sz w:val="24"/>
          <w:szCs w:val="24"/>
        </w:rPr>
      </w:pPr>
    </w:p>
    <w:p w:rsidR="001B00A2" w:rsidRPr="00BC36B7" w:rsidRDefault="001B00A2">
      <w:pPr>
        <w:rPr>
          <w:sz w:val="24"/>
          <w:szCs w:val="24"/>
        </w:rPr>
      </w:pPr>
    </w:p>
    <w:p w:rsidR="00C2274A" w:rsidRPr="001B00A2" w:rsidRDefault="006D4047">
      <w:pPr>
        <w:rPr>
          <w:b/>
          <w:color w:val="FF0000"/>
          <w:sz w:val="24"/>
          <w:szCs w:val="24"/>
          <w:u w:val="single"/>
        </w:rPr>
      </w:pPr>
      <w:r w:rsidRPr="001B00A2">
        <w:rPr>
          <w:b/>
          <w:color w:val="FF0000"/>
          <w:sz w:val="24"/>
          <w:szCs w:val="24"/>
          <w:u w:val="single"/>
        </w:rPr>
        <w:t>Case study-2</w:t>
      </w:r>
    </w:p>
    <w:p w:rsidR="006D4047" w:rsidRPr="00BC36B7" w:rsidRDefault="006D4047" w:rsidP="001B00A2">
      <w:pPr>
        <w:pStyle w:val="Default"/>
        <w:rPr>
          <w:rFonts w:asciiTheme="minorHAnsi" w:hAnsiTheme="minorHAnsi"/>
        </w:rPr>
      </w:pPr>
      <w:r w:rsidRPr="00BC36B7">
        <w:rPr>
          <w:rFonts w:asciiTheme="minorHAnsi" w:hAnsiTheme="minorHAnsi"/>
          <w:b/>
          <w:bCs/>
        </w:rPr>
        <w:t>Answer</w:t>
      </w:r>
      <w:r w:rsidR="001B00A2">
        <w:rPr>
          <w:rFonts w:asciiTheme="minorHAnsi" w:hAnsiTheme="minorHAnsi"/>
          <w:b/>
          <w:bCs/>
        </w:rPr>
        <w:t>:</w:t>
      </w:r>
    </w:p>
    <w:p w:rsidR="006D4047" w:rsidRPr="00BC36B7" w:rsidRDefault="006D4047" w:rsidP="00C1297B">
      <w:pPr>
        <w:pStyle w:val="Default"/>
        <w:rPr>
          <w:rFonts w:asciiTheme="minorHAnsi" w:hAnsiTheme="minorHAnsi"/>
        </w:rPr>
      </w:pPr>
      <w:r w:rsidRPr="001B00A2">
        <w:rPr>
          <w:rFonts w:asciiTheme="minorHAnsi" w:hAnsiTheme="minorHAnsi"/>
          <w:b/>
        </w:rPr>
        <w:lastRenderedPageBreak/>
        <w:t xml:space="preserve">(a) </w:t>
      </w:r>
      <w:r w:rsidRPr="00BC36B7">
        <w:rPr>
          <w:rFonts w:asciiTheme="minorHAnsi" w:hAnsiTheme="minorHAnsi"/>
        </w:rPr>
        <w:t xml:space="preserve">Benchmarking is the continuous process of measuring products, services or activities against the best levels of performance that may be found either inside or outside the organization. It is a process of comparing a firm’s activities with best practices. </w:t>
      </w:r>
    </w:p>
    <w:p w:rsidR="006D4047" w:rsidRPr="001B00A2" w:rsidRDefault="003325B3" w:rsidP="006D4047">
      <w:pPr>
        <w:pStyle w:val="Default"/>
        <w:rPr>
          <w:rFonts w:asciiTheme="minorHAnsi" w:hAnsiTheme="minorHAnsi"/>
          <w:b/>
        </w:rPr>
      </w:pPr>
      <w:r w:rsidRPr="001B00A2">
        <w:rPr>
          <w:rFonts w:asciiTheme="minorHAnsi" w:hAnsiTheme="minorHAnsi"/>
          <w:b/>
        </w:rPr>
        <w:t>Following are the ten steps for Benchmarking</w:t>
      </w:r>
    </w:p>
    <w:p w:rsidR="003325B3" w:rsidRPr="00BC36B7" w:rsidRDefault="003325B3" w:rsidP="003325B3">
      <w:pPr>
        <w:pStyle w:val="Default"/>
        <w:rPr>
          <w:rFonts w:asciiTheme="minorHAnsi" w:hAnsiTheme="minorHAnsi"/>
        </w:rPr>
      </w:pPr>
      <w:r w:rsidRPr="00BC36B7">
        <w:rPr>
          <w:rFonts w:asciiTheme="minorHAnsi" w:hAnsiTheme="minorHAnsi"/>
        </w:rPr>
        <w:t xml:space="preserve">1. Identification of benchmark outputs </w:t>
      </w:r>
    </w:p>
    <w:p w:rsidR="003325B3" w:rsidRPr="00BC36B7" w:rsidRDefault="003325B3" w:rsidP="003325B3">
      <w:pPr>
        <w:pStyle w:val="Default"/>
        <w:rPr>
          <w:rFonts w:asciiTheme="minorHAnsi" w:hAnsiTheme="minorHAnsi"/>
        </w:rPr>
      </w:pPr>
      <w:r w:rsidRPr="00BC36B7">
        <w:rPr>
          <w:rFonts w:asciiTheme="minorHAnsi" w:hAnsiTheme="minorHAnsi"/>
        </w:rPr>
        <w:t xml:space="preserve">2. Identification of best competitors </w:t>
      </w:r>
    </w:p>
    <w:p w:rsidR="003325B3" w:rsidRPr="00BC36B7" w:rsidRDefault="003325B3" w:rsidP="003325B3">
      <w:pPr>
        <w:pStyle w:val="Default"/>
        <w:rPr>
          <w:rFonts w:asciiTheme="minorHAnsi" w:hAnsiTheme="minorHAnsi"/>
        </w:rPr>
      </w:pPr>
      <w:r w:rsidRPr="00BC36B7">
        <w:rPr>
          <w:rFonts w:asciiTheme="minorHAnsi" w:hAnsiTheme="minorHAnsi"/>
        </w:rPr>
        <w:t xml:space="preserve">3 .Determination of data collection method </w:t>
      </w:r>
    </w:p>
    <w:p w:rsidR="003325B3" w:rsidRPr="00BC36B7" w:rsidRDefault="003325B3" w:rsidP="003325B3">
      <w:pPr>
        <w:pStyle w:val="Default"/>
        <w:rPr>
          <w:rFonts w:asciiTheme="minorHAnsi" w:hAnsiTheme="minorHAnsi" w:cs="Times New Roman"/>
        </w:rPr>
      </w:pPr>
      <w:r w:rsidRPr="00BC36B7">
        <w:rPr>
          <w:rFonts w:asciiTheme="minorHAnsi" w:hAnsiTheme="minorHAnsi"/>
        </w:rPr>
        <w:t>4. Determination of current competitive “gap</w:t>
      </w:r>
      <w:r w:rsidRPr="00BC36B7">
        <w:rPr>
          <w:rFonts w:asciiTheme="minorHAnsi" w:hAnsiTheme="minorHAnsi" w:cs="Times New Roman"/>
        </w:rPr>
        <w:t xml:space="preserve">” </w:t>
      </w:r>
    </w:p>
    <w:p w:rsidR="003325B3" w:rsidRPr="00BC36B7" w:rsidRDefault="003325B3" w:rsidP="003325B3">
      <w:pPr>
        <w:pStyle w:val="Default"/>
        <w:rPr>
          <w:rFonts w:asciiTheme="minorHAnsi" w:hAnsiTheme="minorHAnsi"/>
        </w:rPr>
      </w:pPr>
      <w:r w:rsidRPr="00BC36B7">
        <w:rPr>
          <w:rFonts w:asciiTheme="minorHAnsi" w:hAnsiTheme="minorHAnsi"/>
        </w:rPr>
        <w:t xml:space="preserve">5. Projection of future performance level. </w:t>
      </w:r>
    </w:p>
    <w:p w:rsidR="003325B3" w:rsidRPr="00BC36B7" w:rsidRDefault="003325B3" w:rsidP="003325B3">
      <w:pPr>
        <w:pStyle w:val="Default"/>
        <w:rPr>
          <w:rFonts w:asciiTheme="minorHAnsi" w:hAnsiTheme="minorHAnsi"/>
        </w:rPr>
      </w:pPr>
      <w:r w:rsidRPr="00BC36B7">
        <w:rPr>
          <w:rFonts w:asciiTheme="minorHAnsi" w:hAnsiTheme="minorHAnsi"/>
        </w:rPr>
        <w:t xml:space="preserve">6. Establishment of functional goals; </w:t>
      </w:r>
    </w:p>
    <w:p w:rsidR="003325B3" w:rsidRPr="00BC36B7" w:rsidRDefault="003325B3" w:rsidP="003325B3">
      <w:pPr>
        <w:pStyle w:val="Default"/>
        <w:rPr>
          <w:rFonts w:asciiTheme="minorHAnsi" w:hAnsiTheme="minorHAnsi"/>
        </w:rPr>
      </w:pPr>
      <w:r w:rsidRPr="00BC36B7">
        <w:rPr>
          <w:rFonts w:asciiTheme="minorHAnsi" w:hAnsiTheme="minorHAnsi"/>
        </w:rPr>
        <w:t xml:space="preserve">7. Communication of data / acceptance of analysis </w:t>
      </w:r>
    </w:p>
    <w:p w:rsidR="003325B3" w:rsidRPr="00BC36B7" w:rsidRDefault="003325B3" w:rsidP="003325B3">
      <w:pPr>
        <w:pStyle w:val="Default"/>
        <w:rPr>
          <w:rFonts w:asciiTheme="minorHAnsi" w:hAnsiTheme="minorHAnsi"/>
        </w:rPr>
      </w:pPr>
      <w:r w:rsidRPr="00BC36B7">
        <w:rPr>
          <w:rFonts w:asciiTheme="minorHAnsi" w:hAnsiTheme="minorHAnsi"/>
        </w:rPr>
        <w:t xml:space="preserve">8. Development of functional action plan. </w:t>
      </w:r>
    </w:p>
    <w:p w:rsidR="003325B3" w:rsidRPr="00BC36B7" w:rsidRDefault="003325B3" w:rsidP="003325B3">
      <w:pPr>
        <w:pStyle w:val="Default"/>
        <w:rPr>
          <w:rFonts w:asciiTheme="minorHAnsi" w:hAnsiTheme="minorHAnsi"/>
        </w:rPr>
      </w:pPr>
      <w:r w:rsidRPr="00BC36B7">
        <w:rPr>
          <w:rFonts w:asciiTheme="minorHAnsi" w:hAnsiTheme="minorHAnsi"/>
        </w:rPr>
        <w:t xml:space="preserve">9. Implementation on specific actions </w:t>
      </w:r>
    </w:p>
    <w:p w:rsidR="003325B3" w:rsidRPr="00BC36B7" w:rsidRDefault="003325B3" w:rsidP="003325B3">
      <w:pPr>
        <w:pStyle w:val="Default"/>
        <w:rPr>
          <w:rFonts w:asciiTheme="minorHAnsi" w:hAnsiTheme="minorHAnsi"/>
        </w:rPr>
      </w:pPr>
      <w:r w:rsidRPr="00BC36B7">
        <w:rPr>
          <w:rFonts w:asciiTheme="minorHAnsi" w:hAnsiTheme="minorHAnsi"/>
        </w:rPr>
        <w:t xml:space="preserve">10. Monitoring the results / report progress and then recalibrate benchmarks </w:t>
      </w:r>
    </w:p>
    <w:p w:rsidR="003325B3" w:rsidRPr="00BC36B7" w:rsidRDefault="003325B3" w:rsidP="006D4047">
      <w:pPr>
        <w:pStyle w:val="Default"/>
        <w:rPr>
          <w:rFonts w:asciiTheme="minorHAnsi" w:hAnsiTheme="minorHAnsi"/>
        </w:rPr>
      </w:pPr>
    </w:p>
    <w:p w:rsidR="00B05B53" w:rsidRPr="00BC36B7" w:rsidRDefault="00B05B53" w:rsidP="00B05B53">
      <w:pPr>
        <w:pStyle w:val="Default"/>
        <w:rPr>
          <w:rFonts w:asciiTheme="minorHAnsi" w:hAnsiTheme="minorHAnsi"/>
        </w:rPr>
      </w:pPr>
      <w:r w:rsidRPr="001B00A2">
        <w:rPr>
          <w:rFonts w:asciiTheme="minorHAnsi" w:hAnsiTheme="minorHAnsi"/>
          <w:b/>
        </w:rPr>
        <w:t>(b)</w:t>
      </w:r>
      <w:r w:rsidRPr="00BC36B7">
        <w:rPr>
          <w:rFonts w:asciiTheme="minorHAnsi" w:hAnsiTheme="minorHAnsi"/>
        </w:rPr>
        <w:t xml:space="preserve">  Brookfield Zoo was lacking their ability to generate strong customer loyalty over several decades. To rejuvenate its ability the key leaders from Brookfield went to Orlando for a week-long retreat, from there a customer loyalty strategy was crafted which included a number of strategies. </w:t>
      </w:r>
    </w:p>
    <w:p w:rsidR="00B05B53" w:rsidRPr="00BC36B7" w:rsidRDefault="00B05B53" w:rsidP="00B05B53">
      <w:pPr>
        <w:pStyle w:val="Default"/>
        <w:rPr>
          <w:rFonts w:asciiTheme="minorHAnsi" w:hAnsiTheme="minorHAnsi"/>
        </w:rPr>
      </w:pPr>
      <w:r w:rsidRPr="00BC36B7">
        <w:rPr>
          <w:rFonts w:asciiTheme="minorHAnsi" w:hAnsiTheme="minorHAnsi"/>
        </w:rPr>
        <w:t xml:space="preserve">All those strategies that supported the institution to achieve benchmarking are: </w:t>
      </w:r>
    </w:p>
    <w:p w:rsidR="00B05B53" w:rsidRPr="00BC36B7" w:rsidRDefault="00B05B53" w:rsidP="00B05B53">
      <w:pPr>
        <w:pStyle w:val="Default"/>
        <w:spacing w:after="60"/>
        <w:rPr>
          <w:rFonts w:asciiTheme="minorHAnsi" w:hAnsiTheme="minorHAnsi"/>
        </w:rPr>
      </w:pPr>
      <w:r w:rsidRPr="00BC36B7">
        <w:rPr>
          <w:rFonts w:asciiTheme="minorHAnsi" w:hAnsiTheme="minorHAnsi"/>
        </w:rPr>
        <w:t xml:space="preserve">1. Training of leaders to lead the customer focused initiative. </w:t>
      </w:r>
    </w:p>
    <w:p w:rsidR="00B05B53" w:rsidRPr="00BC36B7" w:rsidRDefault="00B05B53" w:rsidP="00B05B53">
      <w:pPr>
        <w:pStyle w:val="Default"/>
        <w:spacing w:after="60"/>
        <w:rPr>
          <w:rFonts w:asciiTheme="minorHAnsi" w:hAnsiTheme="minorHAnsi"/>
        </w:rPr>
      </w:pPr>
      <w:r w:rsidRPr="00BC36B7">
        <w:rPr>
          <w:rFonts w:asciiTheme="minorHAnsi" w:hAnsiTheme="minorHAnsi"/>
        </w:rPr>
        <w:t xml:space="preserve">2. Selection of zoo facilitators. </w:t>
      </w:r>
    </w:p>
    <w:p w:rsidR="00B05B53" w:rsidRPr="00BC36B7" w:rsidRDefault="00B05B53" w:rsidP="00B05B53">
      <w:pPr>
        <w:pStyle w:val="Default"/>
        <w:spacing w:after="60"/>
        <w:rPr>
          <w:rFonts w:asciiTheme="minorHAnsi" w:hAnsiTheme="minorHAnsi"/>
        </w:rPr>
      </w:pPr>
      <w:r w:rsidRPr="00BC36B7">
        <w:rPr>
          <w:rFonts w:asciiTheme="minorHAnsi" w:hAnsiTheme="minorHAnsi"/>
        </w:rPr>
        <w:t xml:space="preserve">3. Training of zoo facilitators to deliver customer service programming. </w:t>
      </w:r>
    </w:p>
    <w:p w:rsidR="00B05B53" w:rsidRPr="00BC36B7" w:rsidRDefault="00B05B53" w:rsidP="00B05B53">
      <w:pPr>
        <w:pStyle w:val="Default"/>
        <w:spacing w:after="60"/>
        <w:rPr>
          <w:rFonts w:asciiTheme="minorHAnsi" w:hAnsiTheme="minorHAnsi"/>
        </w:rPr>
      </w:pPr>
      <w:r w:rsidRPr="00BC36B7">
        <w:rPr>
          <w:rFonts w:asciiTheme="minorHAnsi" w:hAnsiTheme="minorHAnsi"/>
        </w:rPr>
        <w:t xml:space="preserve">4. Conducting trainers facilitated sessions for approximately 1,500 Crew members and it spent collectively over 900 hours on that effort. </w:t>
      </w:r>
    </w:p>
    <w:p w:rsidR="00B05B53" w:rsidRPr="00BC36B7" w:rsidRDefault="00B05B53" w:rsidP="00B05B53">
      <w:pPr>
        <w:pStyle w:val="Default"/>
        <w:rPr>
          <w:rFonts w:asciiTheme="minorHAnsi" w:hAnsiTheme="minorHAnsi"/>
        </w:rPr>
      </w:pPr>
      <w:r w:rsidRPr="00BC36B7">
        <w:rPr>
          <w:rFonts w:asciiTheme="minorHAnsi" w:hAnsiTheme="minorHAnsi"/>
        </w:rPr>
        <w:t xml:space="preserve">5. Implementation of leadership tool kit so that daily conversation can occur with the staff around service excellence. </w:t>
      </w:r>
    </w:p>
    <w:p w:rsidR="00B05B53" w:rsidRPr="00BC36B7" w:rsidRDefault="00B05B53" w:rsidP="00B05B53">
      <w:pPr>
        <w:pStyle w:val="Default"/>
        <w:rPr>
          <w:rFonts w:asciiTheme="minorHAnsi" w:hAnsiTheme="minorHAnsi"/>
        </w:rPr>
      </w:pPr>
    </w:p>
    <w:p w:rsidR="00B05B53" w:rsidRPr="00BC36B7" w:rsidRDefault="00B05B53" w:rsidP="00B05B53">
      <w:pPr>
        <w:pStyle w:val="Default"/>
        <w:rPr>
          <w:rFonts w:asciiTheme="minorHAnsi" w:hAnsiTheme="minorHAnsi"/>
        </w:rPr>
      </w:pPr>
      <w:r w:rsidRPr="001B00A2">
        <w:rPr>
          <w:rFonts w:asciiTheme="minorHAnsi" w:hAnsiTheme="minorHAnsi"/>
          <w:b/>
        </w:rPr>
        <w:t>(c)</w:t>
      </w:r>
      <w:r w:rsidRPr="00BC36B7">
        <w:rPr>
          <w:rFonts w:asciiTheme="minorHAnsi" w:hAnsiTheme="minorHAnsi"/>
        </w:rPr>
        <w:t xml:space="preserve"> Benchmarking resulted in a very positive situation. Though the program was implemented late in the </w:t>
      </w:r>
      <w:r w:rsidR="003325B3" w:rsidRPr="00BC36B7">
        <w:rPr>
          <w:rFonts w:asciiTheme="minorHAnsi" w:hAnsiTheme="minorHAnsi"/>
        </w:rPr>
        <w:t>spring</w:t>
      </w:r>
      <w:r w:rsidRPr="00BC36B7">
        <w:rPr>
          <w:rFonts w:asciiTheme="minorHAnsi" w:hAnsiTheme="minorHAnsi"/>
        </w:rPr>
        <w:t xml:space="preserve"> of 2005, according to summer surveys, non-member ratings for overall zoo visit – those who were “extremely satisfied” -- increased 18% over 2004. </w:t>
      </w:r>
    </w:p>
    <w:p w:rsidR="00B05B53" w:rsidRPr="00BC36B7" w:rsidRDefault="00B05B53" w:rsidP="00B05B53">
      <w:pPr>
        <w:pStyle w:val="Default"/>
        <w:rPr>
          <w:rFonts w:asciiTheme="minorHAnsi" w:hAnsiTheme="minorHAnsi"/>
        </w:rPr>
      </w:pPr>
    </w:p>
    <w:p w:rsidR="00B05B53" w:rsidRPr="00BC36B7" w:rsidRDefault="00B05B53" w:rsidP="00B05B53">
      <w:pPr>
        <w:pStyle w:val="Default"/>
        <w:rPr>
          <w:rFonts w:asciiTheme="minorHAnsi" w:hAnsiTheme="minorHAnsi"/>
        </w:rPr>
      </w:pPr>
      <w:r w:rsidRPr="00BC36B7">
        <w:rPr>
          <w:rFonts w:asciiTheme="minorHAnsi" w:hAnsiTheme="minorHAnsi"/>
        </w:rPr>
        <w:t xml:space="preserve">Other significant improvements include: </w:t>
      </w:r>
    </w:p>
    <w:p w:rsidR="00B05B53" w:rsidRPr="00BC36B7" w:rsidRDefault="00B05B53" w:rsidP="00B05B53">
      <w:pPr>
        <w:pStyle w:val="Default"/>
        <w:rPr>
          <w:rFonts w:asciiTheme="minorHAnsi" w:hAnsiTheme="minorHAnsi"/>
        </w:rPr>
      </w:pPr>
      <w:r w:rsidRPr="00BC36B7">
        <w:rPr>
          <w:rFonts w:asciiTheme="minorHAnsi" w:hAnsiTheme="minorHAnsi"/>
        </w:rPr>
        <w:t xml:space="preserve">1. Non-member ratings of overall value for cost – those who said the visit was an “excellent value” -- increased nearly 12% over 20 </w:t>
      </w:r>
    </w:p>
    <w:p w:rsidR="00B05B53" w:rsidRPr="00BC36B7" w:rsidRDefault="00B05B53" w:rsidP="00B05B53">
      <w:pPr>
        <w:pStyle w:val="Default"/>
        <w:rPr>
          <w:rFonts w:asciiTheme="minorHAnsi" w:hAnsiTheme="minorHAnsi"/>
        </w:rPr>
      </w:pPr>
      <w:r w:rsidRPr="00BC36B7">
        <w:rPr>
          <w:rFonts w:asciiTheme="minorHAnsi" w:hAnsiTheme="minorHAnsi"/>
        </w:rPr>
        <w:t xml:space="preserve">2. Non-member ratings of the helpfulness of zoo staff – those who thought we “exceeded expectations” -- increased nearly 8% over 2004. </w:t>
      </w:r>
    </w:p>
    <w:p w:rsidR="00B05B53" w:rsidRPr="00BC36B7" w:rsidRDefault="00B05B53" w:rsidP="00B05B53">
      <w:pPr>
        <w:pStyle w:val="Default"/>
        <w:rPr>
          <w:rFonts w:asciiTheme="minorHAnsi" w:hAnsiTheme="minorHAnsi"/>
        </w:rPr>
      </w:pPr>
      <w:r w:rsidRPr="00BC36B7">
        <w:rPr>
          <w:rFonts w:asciiTheme="minorHAnsi" w:hAnsiTheme="minorHAnsi"/>
        </w:rPr>
        <w:t xml:space="preserve">3. Non-member ratings of “definitely will visit the Zoo again next year” – increased nearly 7% over 2004. </w:t>
      </w:r>
    </w:p>
    <w:p w:rsidR="006D4047" w:rsidRPr="00BC36B7" w:rsidRDefault="00B05B53" w:rsidP="00B05B53">
      <w:pPr>
        <w:tabs>
          <w:tab w:val="left" w:pos="6435"/>
        </w:tabs>
        <w:rPr>
          <w:sz w:val="24"/>
          <w:szCs w:val="24"/>
        </w:rPr>
      </w:pPr>
      <w:r w:rsidRPr="00BC36B7">
        <w:rPr>
          <w:sz w:val="24"/>
          <w:szCs w:val="24"/>
        </w:rPr>
        <w:t>4. Nearly 65% of non-members listened to or interacted with zoo staff or volunteers regarding animals during their visit, compared to only 9% in 2004. This is an enormous behavioral change among staff</w:t>
      </w:r>
    </w:p>
    <w:p w:rsidR="006D4047" w:rsidRPr="001B00A2" w:rsidRDefault="003C7C2C">
      <w:pPr>
        <w:rPr>
          <w:rFonts w:cs="TTFF4BA0E8t00"/>
          <w:b/>
          <w:color w:val="FF0000"/>
          <w:sz w:val="24"/>
          <w:szCs w:val="24"/>
          <w:u w:val="single"/>
        </w:rPr>
      </w:pPr>
      <w:r w:rsidRPr="001B00A2">
        <w:rPr>
          <w:rFonts w:cs="TTFF4BA0E8t00"/>
          <w:b/>
          <w:color w:val="FF0000"/>
          <w:sz w:val="24"/>
          <w:szCs w:val="24"/>
          <w:u w:val="single"/>
        </w:rPr>
        <w:t>Case Study 3</w:t>
      </w:r>
    </w:p>
    <w:p w:rsidR="003C7C2C" w:rsidRPr="00BC36B7" w:rsidRDefault="00A728D7" w:rsidP="003C7C2C">
      <w:pPr>
        <w:pStyle w:val="Default"/>
        <w:rPr>
          <w:rFonts w:asciiTheme="minorHAnsi" w:hAnsiTheme="minorHAnsi"/>
          <w:b/>
          <w:bCs/>
        </w:rPr>
      </w:pPr>
      <w:r w:rsidRPr="00BC36B7">
        <w:rPr>
          <w:rFonts w:asciiTheme="minorHAnsi" w:hAnsiTheme="minorHAnsi"/>
          <w:b/>
          <w:bCs/>
        </w:rPr>
        <w:t>Answer:</w:t>
      </w:r>
    </w:p>
    <w:p w:rsidR="00937A35" w:rsidRPr="001B00A2" w:rsidRDefault="00937A35" w:rsidP="00937A35">
      <w:pPr>
        <w:pStyle w:val="Default"/>
        <w:jc w:val="center"/>
        <w:rPr>
          <w:rFonts w:asciiTheme="minorHAnsi" w:hAnsiTheme="minorHAnsi"/>
          <w:b/>
          <w:bCs/>
          <w:u w:val="single"/>
        </w:rPr>
      </w:pPr>
      <w:r w:rsidRPr="001B00A2">
        <w:rPr>
          <w:rFonts w:asciiTheme="minorHAnsi" w:hAnsiTheme="minorHAnsi"/>
          <w:b/>
          <w:bCs/>
          <w:u w:val="single"/>
        </w:rPr>
        <w:lastRenderedPageBreak/>
        <w:t>Decision Tree with Cash Flow and Probabilities</w:t>
      </w:r>
    </w:p>
    <w:p w:rsidR="003C7C2C" w:rsidRPr="00BC36B7" w:rsidRDefault="001B00A2" w:rsidP="001B00A2">
      <w:pPr>
        <w:pStyle w:val="Default"/>
        <w:tabs>
          <w:tab w:val="left" w:pos="2835"/>
        </w:tabs>
        <w:rPr>
          <w:rFonts w:asciiTheme="minorHAnsi" w:hAnsiTheme="minorHAnsi"/>
        </w:rPr>
      </w:pPr>
      <w:r>
        <w:rPr>
          <w:rFonts w:asciiTheme="minorHAnsi" w:hAnsiTheme="minorHAnsi"/>
          <w:b/>
          <w:bCs/>
        </w:rPr>
        <w:tab/>
      </w:r>
    </w:p>
    <w:p w:rsidR="003C7C2C" w:rsidRPr="00BC36B7" w:rsidRDefault="003C7C2C" w:rsidP="003C7C2C">
      <w:pPr>
        <w:pStyle w:val="Default"/>
        <w:rPr>
          <w:rFonts w:asciiTheme="minorHAnsi" w:hAnsiTheme="minorHAnsi"/>
        </w:rPr>
      </w:pPr>
      <w:r w:rsidRPr="00BC36B7">
        <w:rPr>
          <w:rFonts w:asciiTheme="minorHAnsi" w:hAnsiTheme="minorHAnsi"/>
          <w:noProof/>
        </w:rPr>
        <w:drawing>
          <wp:inline distT="0" distB="0" distL="0" distR="0">
            <wp:extent cx="6286500" cy="3364047"/>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6286500" cy="3364047"/>
                    </a:xfrm>
                    <a:prstGeom prst="rect">
                      <a:avLst/>
                    </a:prstGeom>
                    <a:noFill/>
                    <a:ln w="9525">
                      <a:noFill/>
                      <a:miter lim="800000"/>
                      <a:headEnd/>
                      <a:tailEnd/>
                    </a:ln>
                  </pic:spPr>
                </pic:pic>
              </a:graphicData>
            </a:graphic>
          </wp:inline>
        </w:drawing>
      </w:r>
    </w:p>
    <w:p w:rsidR="00937A35" w:rsidRPr="00BC36B7" w:rsidRDefault="00937A35" w:rsidP="003C7C2C">
      <w:pPr>
        <w:pStyle w:val="Default"/>
        <w:rPr>
          <w:rFonts w:asciiTheme="minorHAnsi" w:hAnsiTheme="minorHAnsi"/>
        </w:rPr>
      </w:pPr>
    </w:p>
    <w:p w:rsidR="00937A35" w:rsidRPr="001B00A2" w:rsidRDefault="00937A35" w:rsidP="00937A35">
      <w:pPr>
        <w:pStyle w:val="Default"/>
        <w:jc w:val="center"/>
        <w:rPr>
          <w:rFonts w:asciiTheme="minorHAnsi" w:hAnsiTheme="minorHAnsi"/>
          <w:b/>
          <w:bCs/>
          <w:u w:val="single"/>
        </w:rPr>
      </w:pPr>
      <w:r w:rsidRPr="001B00A2">
        <w:rPr>
          <w:rFonts w:asciiTheme="minorHAnsi" w:hAnsiTheme="minorHAnsi"/>
          <w:b/>
          <w:bCs/>
          <w:u w:val="single"/>
        </w:rPr>
        <w:t>Evaluate of Decision Points</w:t>
      </w:r>
    </w:p>
    <w:p w:rsidR="00A728D7" w:rsidRPr="00BC36B7" w:rsidRDefault="00A728D7" w:rsidP="00937A35">
      <w:pPr>
        <w:pStyle w:val="Default"/>
        <w:jc w:val="center"/>
        <w:rPr>
          <w:rFonts w:asciiTheme="minorHAnsi" w:hAnsiTheme="minorHAnsi"/>
          <w:b/>
          <w:bCs/>
        </w:rPr>
      </w:pPr>
    </w:p>
    <w:tbl>
      <w:tblPr>
        <w:tblStyle w:val="TableGrid"/>
        <w:tblW w:w="0" w:type="auto"/>
        <w:tblLook w:val="04A0"/>
      </w:tblPr>
      <w:tblGrid>
        <w:gridCol w:w="2808"/>
        <w:gridCol w:w="1710"/>
        <w:gridCol w:w="1800"/>
        <w:gridCol w:w="1630"/>
        <w:gridCol w:w="1988"/>
      </w:tblGrid>
      <w:tr w:rsidR="00352C92" w:rsidTr="00352C92">
        <w:tc>
          <w:tcPr>
            <w:tcW w:w="2808" w:type="dxa"/>
          </w:tcPr>
          <w:p w:rsidR="00352C92" w:rsidRDefault="00352C92" w:rsidP="001A021A">
            <w:pPr>
              <w:pStyle w:val="Default"/>
              <w:jc w:val="center"/>
              <w:rPr>
                <w:sz w:val="20"/>
                <w:szCs w:val="20"/>
              </w:rPr>
            </w:pPr>
            <w:r>
              <w:rPr>
                <w:sz w:val="20"/>
                <w:szCs w:val="20"/>
              </w:rPr>
              <w:t>Decision point</w:t>
            </w:r>
          </w:p>
        </w:tc>
        <w:tc>
          <w:tcPr>
            <w:tcW w:w="1710" w:type="dxa"/>
          </w:tcPr>
          <w:p w:rsidR="00352C92" w:rsidRDefault="00352C92" w:rsidP="001A021A">
            <w:pPr>
              <w:pStyle w:val="Default"/>
              <w:jc w:val="center"/>
              <w:rPr>
                <w:sz w:val="20"/>
                <w:szCs w:val="20"/>
              </w:rPr>
            </w:pPr>
            <w:r>
              <w:rPr>
                <w:sz w:val="20"/>
                <w:szCs w:val="20"/>
              </w:rPr>
              <w:t>Outcome</w:t>
            </w:r>
          </w:p>
        </w:tc>
        <w:tc>
          <w:tcPr>
            <w:tcW w:w="1800" w:type="dxa"/>
          </w:tcPr>
          <w:p w:rsidR="00352C92" w:rsidRDefault="00352C92" w:rsidP="001A021A">
            <w:pPr>
              <w:pStyle w:val="Default"/>
              <w:jc w:val="center"/>
              <w:rPr>
                <w:sz w:val="20"/>
                <w:szCs w:val="20"/>
              </w:rPr>
            </w:pPr>
            <w:r>
              <w:rPr>
                <w:sz w:val="20"/>
                <w:szCs w:val="20"/>
              </w:rPr>
              <w:t>Probability</w:t>
            </w:r>
          </w:p>
        </w:tc>
        <w:tc>
          <w:tcPr>
            <w:tcW w:w="1630" w:type="dxa"/>
          </w:tcPr>
          <w:p w:rsidR="00352C92" w:rsidRDefault="00352C92" w:rsidP="001A021A">
            <w:pPr>
              <w:pStyle w:val="Default"/>
              <w:jc w:val="center"/>
              <w:rPr>
                <w:sz w:val="20"/>
                <w:szCs w:val="20"/>
              </w:rPr>
            </w:pPr>
            <w:r>
              <w:rPr>
                <w:sz w:val="20"/>
                <w:szCs w:val="20"/>
              </w:rPr>
              <w:t>Net Profit</w:t>
            </w:r>
          </w:p>
        </w:tc>
        <w:tc>
          <w:tcPr>
            <w:tcW w:w="1988" w:type="dxa"/>
          </w:tcPr>
          <w:p w:rsidR="00352C92" w:rsidRDefault="00352C92" w:rsidP="001A021A">
            <w:pPr>
              <w:pStyle w:val="Default"/>
              <w:jc w:val="center"/>
              <w:rPr>
                <w:sz w:val="20"/>
                <w:szCs w:val="20"/>
              </w:rPr>
            </w:pPr>
            <w:r>
              <w:rPr>
                <w:sz w:val="20"/>
                <w:szCs w:val="20"/>
              </w:rPr>
              <w:t>Expected Payoff</w:t>
            </w:r>
          </w:p>
        </w:tc>
      </w:tr>
      <w:tr w:rsidR="00352C92" w:rsidTr="00352C92">
        <w:tc>
          <w:tcPr>
            <w:tcW w:w="2808" w:type="dxa"/>
          </w:tcPr>
          <w:p w:rsidR="00352C92" w:rsidRDefault="00352C92" w:rsidP="001A021A">
            <w:pPr>
              <w:pStyle w:val="Default"/>
              <w:jc w:val="center"/>
              <w:rPr>
                <w:sz w:val="20"/>
                <w:szCs w:val="20"/>
              </w:rPr>
            </w:pPr>
            <w:r>
              <w:rPr>
                <w:sz w:val="20"/>
                <w:szCs w:val="20"/>
              </w:rPr>
              <w:t>D</w:t>
            </w:r>
            <w:r>
              <w:rPr>
                <w:sz w:val="13"/>
                <w:szCs w:val="13"/>
              </w:rPr>
              <w:t xml:space="preserve">2 </w:t>
            </w:r>
            <w:r>
              <w:rPr>
                <w:sz w:val="20"/>
                <w:szCs w:val="20"/>
              </w:rPr>
              <w:t>(i) Follow up project</w:t>
            </w:r>
          </w:p>
        </w:tc>
        <w:tc>
          <w:tcPr>
            <w:tcW w:w="1710" w:type="dxa"/>
          </w:tcPr>
          <w:p w:rsidR="00352C92" w:rsidRDefault="00352C92" w:rsidP="001A021A">
            <w:pPr>
              <w:pStyle w:val="Default"/>
              <w:jc w:val="center"/>
              <w:rPr>
                <w:sz w:val="20"/>
                <w:szCs w:val="20"/>
              </w:rPr>
            </w:pPr>
            <w:r>
              <w:rPr>
                <w:sz w:val="20"/>
                <w:szCs w:val="20"/>
              </w:rPr>
              <w:t>Higher payoff</w:t>
            </w:r>
          </w:p>
        </w:tc>
        <w:tc>
          <w:tcPr>
            <w:tcW w:w="1800" w:type="dxa"/>
          </w:tcPr>
          <w:p w:rsidR="00352C92" w:rsidRDefault="00352C92" w:rsidP="001A021A">
            <w:pPr>
              <w:pStyle w:val="Default"/>
              <w:jc w:val="center"/>
              <w:rPr>
                <w:sz w:val="20"/>
                <w:szCs w:val="20"/>
              </w:rPr>
            </w:pPr>
            <w:r>
              <w:rPr>
                <w:sz w:val="20"/>
                <w:szCs w:val="20"/>
              </w:rPr>
              <w:t>0.30</w:t>
            </w:r>
          </w:p>
        </w:tc>
        <w:tc>
          <w:tcPr>
            <w:tcW w:w="1630" w:type="dxa"/>
          </w:tcPr>
          <w:p w:rsidR="00352C92" w:rsidRDefault="00352C92" w:rsidP="001A021A">
            <w:pPr>
              <w:pStyle w:val="Default"/>
              <w:jc w:val="center"/>
              <w:rPr>
                <w:sz w:val="20"/>
                <w:szCs w:val="20"/>
              </w:rPr>
            </w:pPr>
            <w:r>
              <w:rPr>
                <w:sz w:val="20"/>
                <w:szCs w:val="20"/>
              </w:rPr>
              <w:t>55,000</w:t>
            </w:r>
          </w:p>
        </w:tc>
        <w:tc>
          <w:tcPr>
            <w:tcW w:w="1988" w:type="dxa"/>
          </w:tcPr>
          <w:p w:rsidR="00352C92" w:rsidRDefault="00352C92" w:rsidP="001A021A">
            <w:pPr>
              <w:pStyle w:val="Default"/>
              <w:jc w:val="center"/>
              <w:rPr>
                <w:sz w:val="20"/>
                <w:szCs w:val="20"/>
              </w:rPr>
            </w:pPr>
            <w:r>
              <w:rPr>
                <w:sz w:val="20"/>
                <w:szCs w:val="20"/>
              </w:rPr>
              <w:t>16,500</w:t>
            </w:r>
          </w:p>
        </w:tc>
      </w:tr>
      <w:tr w:rsidR="00352C92" w:rsidTr="00352C92">
        <w:tc>
          <w:tcPr>
            <w:tcW w:w="2808" w:type="dxa"/>
          </w:tcPr>
          <w:p w:rsidR="00352C92" w:rsidRDefault="00352C92" w:rsidP="001A021A">
            <w:pPr>
              <w:pStyle w:val="Default"/>
              <w:jc w:val="center"/>
              <w:rPr>
                <w:rFonts w:asciiTheme="minorHAnsi" w:hAnsiTheme="minorHAnsi"/>
              </w:rPr>
            </w:pPr>
          </w:p>
        </w:tc>
        <w:tc>
          <w:tcPr>
            <w:tcW w:w="1710" w:type="dxa"/>
          </w:tcPr>
          <w:p w:rsidR="00352C92" w:rsidRDefault="00352C92" w:rsidP="001A021A">
            <w:pPr>
              <w:pStyle w:val="Default"/>
              <w:jc w:val="center"/>
              <w:rPr>
                <w:sz w:val="20"/>
                <w:szCs w:val="20"/>
              </w:rPr>
            </w:pPr>
            <w:r>
              <w:rPr>
                <w:sz w:val="20"/>
                <w:szCs w:val="20"/>
              </w:rPr>
              <w:t>Lower payoff</w:t>
            </w:r>
          </w:p>
        </w:tc>
        <w:tc>
          <w:tcPr>
            <w:tcW w:w="1800" w:type="dxa"/>
          </w:tcPr>
          <w:p w:rsidR="00352C92" w:rsidRDefault="00352C92" w:rsidP="001A021A">
            <w:pPr>
              <w:pStyle w:val="Default"/>
              <w:jc w:val="center"/>
              <w:rPr>
                <w:sz w:val="20"/>
                <w:szCs w:val="20"/>
              </w:rPr>
            </w:pPr>
            <w:r>
              <w:rPr>
                <w:sz w:val="20"/>
                <w:szCs w:val="20"/>
              </w:rPr>
              <w:t>0.70</w:t>
            </w:r>
          </w:p>
        </w:tc>
        <w:tc>
          <w:tcPr>
            <w:tcW w:w="1630" w:type="dxa"/>
          </w:tcPr>
          <w:p w:rsidR="00352C92" w:rsidRDefault="00352C92" w:rsidP="001A021A">
            <w:pPr>
              <w:pStyle w:val="Default"/>
              <w:jc w:val="center"/>
              <w:rPr>
                <w:sz w:val="20"/>
                <w:szCs w:val="20"/>
              </w:rPr>
            </w:pPr>
            <w:r>
              <w:rPr>
                <w:sz w:val="20"/>
                <w:szCs w:val="20"/>
              </w:rPr>
              <w:t>30,000</w:t>
            </w:r>
          </w:p>
        </w:tc>
        <w:tc>
          <w:tcPr>
            <w:tcW w:w="1988" w:type="dxa"/>
          </w:tcPr>
          <w:p w:rsidR="00352C92" w:rsidRDefault="00352C92" w:rsidP="001A021A">
            <w:pPr>
              <w:pStyle w:val="Default"/>
              <w:jc w:val="center"/>
              <w:rPr>
                <w:sz w:val="20"/>
                <w:szCs w:val="20"/>
              </w:rPr>
            </w:pPr>
            <w:r>
              <w:rPr>
                <w:sz w:val="20"/>
                <w:szCs w:val="20"/>
              </w:rPr>
              <w:t>21,000</w:t>
            </w:r>
          </w:p>
        </w:tc>
      </w:tr>
      <w:tr w:rsidR="00352C92" w:rsidTr="00352C92">
        <w:tc>
          <w:tcPr>
            <w:tcW w:w="2808" w:type="dxa"/>
          </w:tcPr>
          <w:p w:rsidR="00352C92" w:rsidRDefault="00352C92" w:rsidP="001A021A">
            <w:pPr>
              <w:pStyle w:val="Default"/>
              <w:jc w:val="center"/>
              <w:rPr>
                <w:rFonts w:asciiTheme="minorHAnsi" w:hAnsiTheme="minorHAnsi"/>
              </w:rPr>
            </w:pPr>
          </w:p>
        </w:tc>
        <w:tc>
          <w:tcPr>
            <w:tcW w:w="1710" w:type="dxa"/>
          </w:tcPr>
          <w:p w:rsidR="00352C92" w:rsidRDefault="00352C92" w:rsidP="001A021A">
            <w:pPr>
              <w:pStyle w:val="Default"/>
              <w:jc w:val="center"/>
              <w:rPr>
                <w:rFonts w:asciiTheme="minorHAnsi" w:hAnsiTheme="minorHAnsi"/>
              </w:rPr>
            </w:pPr>
          </w:p>
        </w:tc>
        <w:tc>
          <w:tcPr>
            <w:tcW w:w="1800" w:type="dxa"/>
          </w:tcPr>
          <w:p w:rsidR="00352C92" w:rsidRDefault="00352C92" w:rsidP="001A021A">
            <w:pPr>
              <w:pStyle w:val="Default"/>
              <w:jc w:val="center"/>
              <w:rPr>
                <w:rFonts w:asciiTheme="minorHAnsi" w:hAnsiTheme="minorHAnsi"/>
              </w:rPr>
            </w:pPr>
          </w:p>
        </w:tc>
        <w:tc>
          <w:tcPr>
            <w:tcW w:w="1630" w:type="dxa"/>
          </w:tcPr>
          <w:p w:rsidR="00352C92" w:rsidRDefault="00352C92" w:rsidP="001A021A">
            <w:pPr>
              <w:pStyle w:val="Default"/>
              <w:jc w:val="center"/>
              <w:rPr>
                <w:rFonts w:asciiTheme="minorHAnsi" w:hAnsiTheme="minorHAnsi"/>
              </w:rPr>
            </w:pPr>
          </w:p>
        </w:tc>
        <w:tc>
          <w:tcPr>
            <w:tcW w:w="1988" w:type="dxa"/>
          </w:tcPr>
          <w:p w:rsidR="00352C92" w:rsidRPr="00352C92" w:rsidRDefault="00352C92" w:rsidP="001A021A">
            <w:pPr>
              <w:pStyle w:val="Default"/>
              <w:jc w:val="center"/>
              <w:rPr>
                <w:sz w:val="20"/>
                <w:szCs w:val="20"/>
              </w:rPr>
            </w:pPr>
            <w:r>
              <w:rPr>
                <w:b/>
                <w:bCs/>
                <w:sz w:val="20"/>
                <w:szCs w:val="20"/>
              </w:rPr>
              <w:t>37,500</w:t>
            </w:r>
          </w:p>
        </w:tc>
      </w:tr>
      <w:tr w:rsidR="00352C92" w:rsidTr="00352C92">
        <w:tc>
          <w:tcPr>
            <w:tcW w:w="2808" w:type="dxa"/>
          </w:tcPr>
          <w:tbl>
            <w:tblPr>
              <w:tblW w:w="0" w:type="auto"/>
              <w:tblBorders>
                <w:top w:val="nil"/>
                <w:left w:val="nil"/>
                <w:bottom w:val="nil"/>
                <w:right w:val="nil"/>
              </w:tblBorders>
              <w:tblLook w:val="0000"/>
            </w:tblPr>
            <w:tblGrid>
              <w:gridCol w:w="2383"/>
            </w:tblGrid>
            <w:tr w:rsidR="00352C92" w:rsidRPr="00352C92">
              <w:trPr>
                <w:trHeight w:val="95"/>
              </w:trPr>
              <w:tc>
                <w:tcPr>
                  <w:tcW w:w="0" w:type="auto"/>
                </w:tcPr>
                <w:p w:rsidR="00352C92" w:rsidRPr="00352C92" w:rsidRDefault="00352C92" w:rsidP="001A021A">
                  <w:pPr>
                    <w:autoSpaceDE w:val="0"/>
                    <w:autoSpaceDN w:val="0"/>
                    <w:adjustRightInd w:val="0"/>
                    <w:spacing w:after="0" w:line="240" w:lineRule="auto"/>
                    <w:jc w:val="center"/>
                    <w:rPr>
                      <w:rFonts w:ascii="Century Gothic" w:hAnsi="Century Gothic" w:cs="Times New Roman"/>
                      <w:color w:val="000000"/>
                    </w:rPr>
                  </w:pPr>
                  <w:r w:rsidRPr="00352C92">
                    <w:rPr>
                      <w:rFonts w:ascii="Century Gothic" w:hAnsi="Century Gothic" w:cs="Times New Roman"/>
                      <w:color w:val="000000"/>
                    </w:rPr>
                    <w:t>No follow up project</w:t>
                  </w:r>
                </w:p>
                <w:p w:rsidR="00352C92" w:rsidRPr="00352C92" w:rsidRDefault="00352C92" w:rsidP="001A021A">
                  <w:pPr>
                    <w:autoSpaceDE w:val="0"/>
                    <w:autoSpaceDN w:val="0"/>
                    <w:adjustRightInd w:val="0"/>
                    <w:spacing w:after="0" w:line="240" w:lineRule="auto"/>
                    <w:jc w:val="center"/>
                    <w:rPr>
                      <w:rFonts w:ascii="Times New Roman" w:hAnsi="Times New Roman" w:cs="Times New Roman"/>
                      <w:color w:val="000000"/>
                      <w:sz w:val="24"/>
                      <w:szCs w:val="24"/>
                    </w:rPr>
                  </w:pPr>
                </w:p>
              </w:tc>
            </w:tr>
          </w:tbl>
          <w:p w:rsidR="00352C92" w:rsidRDefault="00352C92" w:rsidP="001A021A">
            <w:pPr>
              <w:pStyle w:val="Default"/>
              <w:jc w:val="center"/>
              <w:rPr>
                <w:rFonts w:asciiTheme="minorHAnsi" w:hAnsiTheme="minorHAnsi"/>
              </w:rPr>
            </w:pPr>
          </w:p>
        </w:tc>
        <w:tc>
          <w:tcPr>
            <w:tcW w:w="1710" w:type="dxa"/>
          </w:tcPr>
          <w:p w:rsidR="00352C92" w:rsidRDefault="00352C92" w:rsidP="001A021A">
            <w:pPr>
              <w:pStyle w:val="Default"/>
              <w:jc w:val="center"/>
              <w:rPr>
                <w:rFonts w:asciiTheme="minorHAnsi" w:hAnsiTheme="minorHAnsi"/>
              </w:rPr>
            </w:pPr>
          </w:p>
        </w:tc>
        <w:tc>
          <w:tcPr>
            <w:tcW w:w="1800" w:type="dxa"/>
          </w:tcPr>
          <w:p w:rsidR="00352C92" w:rsidRDefault="00352C92" w:rsidP="001A021A">
            <w:pPr>
              <w:pStyle w:val="Default"/>
              <w:jc w:val="center"/>
              <w:rPr>
                <w:rFonts w:asciiTheme="minorHAnsi" w:hAnsiTheme="minorHAnsi"/>
              </w:rPr>
            </w:pPr>
          </w:p>
        </w:tc>
        <w:tc>
          <w:tcPr>
            <w:tcW w:w="1630" w:type="dxa"/>
          </w:tcPr>
          <w:p w:rsidR="00352C92" w:rsidRDefault="00352C92" w:rsidP="001A021A">
            <w:pPr>
              <w:pStyle w:val="Default"/>
              <w:jc w:val="center"/>
              <w:rPr>
                <w:rFonts w:asciiTheme="minorHAnsi" w:hAnsiTheme="minorHAnsi"/>
              </w:rPr>
            </w:pPr>
          </w:p>
        </w:tc>
        <w:tc>
          <w:tcPr>
            <w:tcW w:w="1988" w:type="dxa"/>
          </w:tcPr>
          <w:p w:rsidR="00352C92" w:rsidRPr="00352C92" w:rsidRDefault="00352C92" w:rsidP="001A021A">
            <w:pPr>
              <w:pStyle w:val="Default"/>
              <w:jc w:val="center"/>
              <w:rPr>
                <w:rFonts w:asciiTheme="minorHAnsi" w:hAnsiTheme="minorHAnsi"/>
                <w:b/>
              </w:rPr>
            </w:pPr>
            <w:r w:rsidRPr="00352C92">
              <w:rPr>
                <w:rFonts w:asciiTheme="minorHAnsi" w:hAnsiTheme="minorHAnsi"/>
                <w:b/>
              </w:rPr>
              <w:t>0</w:t>
            </w:r>
          </w:p>
        </w:tc>
      </w:tr>
      <w:tr w:rsidR="00352C92" w:rsidTr="00352C92">
        <w:tc>
          <w:tcPr>
            <w:tcW w:w="2808" w:type="dxa"/>
          </w:tcPr>
          <w:p w:rsidR="00352C92" w:rsidRDefault="00352C92" w:rsidP="001A021A">
            <w:pPr>
              <w:pStyle w:val="Default"/>
              <w:jc w:val="center"/>
              <w:rPr>
                <w:sz w:val="20"/>
                <w:szCs w:val="20"/>
              </w:rPr>
            </w:pPr>
            <w:r>
              <w:rPr>
                <w:sz w:val="20"/>
                <w:szCs w:val="20"/>
              </w:rPr>
              <w:t>D</w:t>
            </w:r>
            <w:r>
              <w:rPr>
                <w:sz w:val="13"/>
                <w:szCs w:val="13"/>
              </w:rPr>
              <w:t xml:space="preserve">1 </w:t>
            </w:r>
            <w:r>
              <w:rPr>
                <w:sz w:val="20"/>
                <w:szCs w:val="20"/>
              </w:rPr>
              <w:t xml:space="preserve">(i) Take </w:t>
            </w:r>
            <w:r>
              <w:rPr>
                <w:b/>
                <w:bCs/>
                <w:sz w:val="20"/>
                <w:szCs w:val="20"/>
              </w:rPr>
              <w:t>Project A</w:t>
            </w:r>
          </w:p>
        </w:tc>
        <w:tc>
          <w:tcPr>
            <w:tcW w:w="1710" w:type="dxa"/>
          </w:tcPr>
          <w:p w:rsidR="00352C92" w:rsidRDefault="00352C92" w:rsidP="001A021A">
            <w:pPr>
              <w:pStyle w:val="Default"/>
              <w:jc w:val="center"/>
              <w:rPr>
                <w:sz w:val="20"/>
                <w:szCs w:val="20"/>
              </w:rPr>
            </w:pPr>
            <w:r>
              <w:rPr>
                <w:sz w:val="20"/>
                <w:szCs w:val="20"/>
              </w:rPr>
              <w:t>0 day delay</w:t>
            </w:r>
          </w:p>
        </w:tc>
        <w:tc>
          <w:tcPr>
            <w:tcW w:w="1800" w:type="dxa"/>
          </w:tcPr>
          <w:p w:rsidR="00352C92" w:rsidRDefault="00352C92" w:rsidP="001A021A">
            <w:pPr>
              <w:pStyle w:val="Default"/>
              <w:jc w:val="center"/>
              <w:rPr>
                <w:sz w:val="20"/>
                <w:szCs w:val="20"/>
              </w:rPr>
            </w:pPr>
            <w:r>
              <w:rPr>
                <w:sz w:val="20"/>
                <w:szCs w:val="20"/>
              </w:rPr>
              <w:t>0.75</w:t>
            </w:r>
          </w:p>
        </w:tc>
        <w:tc>
          <w:tcPr>
            <w:tcW w:w="1630" w:type="dxa"/>
          </w:tcPr>
          <w:p w:rsidR="00352C92" w:rsidRDefault="00352C92" w:rsidP="001A021A">
            <w:pPr>
              <w:pStyle w:val="Default"/>
              <w:jc w:val="center"/>
              <w:rPr>
                <w:sz w:val="20"/>
                <w:szCs w:val="20"/>
              </w:rPr>
            </w:pPr>
            <w:r>
              <w:rPr>
                <w:sz w:val="20"/>
                <w:szCs w:val="20"/>
              </w:rPr>
              <w:t>40,000</w:t>
            </w:r>
          </w:p>
        </w:tc>
        <w:tc>
          <w:tcPr>
            <w:tcW w:w="1988" w:type="dxa"/>
          </w:tcPr>
          <w:p w:rsidR="00352C92" w:rsidRDefault="00352C92" w:rsidP="001A021A">
            <w:pPr>
              <w:pStyle w:val="Default"/>
              <w:jc w:val="center"/>
              <w:rPr>
                <w:sz w:val="20"/>
                <w:szCs w:val="20"/>
              </w:rPr>
            </w:pPr>
            <w:r>
              <w:rPr>
                <w:sz w:val="20"/>
                <w:szCs w:val="20"/>
              </w:rPr>
              <w:t>30,000</w:t>
            </w:r>
          </w:p>
        </w:tc>
      </w:tr>
      <w:tr w:rsidR="00352C92" w:rsidTr="00352C92">
        <w:tc>
          <w:tcPr>
            <w:tcW w:w="2808" w:type="dxa"/>
          </w:tcPr>
          <w:p w:rsidR="00352C92" w:rsidRDefault="00352C92" w:rsidP="001A021A">
            <w:pPr>
              <w:pStyle w:val="Default"/>
              <w:jc w:val="center"/>
              <w:rPr>
                <w:rFonts w:asciiTheme="minorHAnsi" w:hAnsiTheme="minorHAnsi"/>
              </w:rPr>
            </w:pPr>
          </w:p>
        </w:tc>
        <w:tc>
          <w:tcPr>
            <w:tcW w:w="1710" w:type="dxa"/>
          </w:tcPr>
          <w:p w:rsidR="00352C92" w:rsidRDefault="00352C92" w:rsidP="001A021A">
            <w:pPr>
              <w:pStyle w:val="Default"/>
              <w:jc w:val="center"/>
              <w:rPr>
                <w:sz w:val="20"/>
                <w:szCs w:val="20"/>
              </w:rPr>
            </w:pPr>
            <w:r>
              <w:rPr>
                <w:sz w:val="20"/>
                <w:szCs w:val="20"/>
              </w:rPr>
              <w:t>1 day delay</w:t>
            </w:r>
          </w:p>
        </w:tc>
        <w:tc>
          <w:tcPr>
            <w:tcW w:w="1800" w:type="dxa"/>
          </w:tcPr>
          <w:p w:rsidR="00352C92" w:rsidRDefault="00352C92" w:rsidP="001A021A">
            <w:pPr>
              <w:pStyle w:val="Default"/>
              <w:jc w:val="center"/>
              <w:rPr>
                <w:sz w:val="20"/>
                <w:szCs w:val="20"/>
              </w:rPr>
            </w:pPr>
            <w:r>
              <w:rPr>
                <w:sz w:val="20"/>
                <w:szCs w:val="20"/>
              </w:rPr>
              <w:t>0.10</w:t>
            </w:r>
          </w:p>
        </w:tc>
        <w:tc>
          <w:tcPr>
            <w:tcW w:w="1630" w:type="dxa"/>
          </w:tcPr>
          <w:p w:rsidR="00352C92" w:rsidRDefault="00352C92" w:rsidP="001A021A">
            <w:pPr>
              <w:pStyle w:val="Default"/>
              <w:jc w:val="center"/>
              <w:rPr>
                <w:sz w:val="20"/>
                <w:szCs w:val="20"/>
              </w:rPr>
            </w:pPr>
            <w:r>
              <w:rPr>
                <w:sz w:val="20"/>
                <w:szCs w:val="20"/>
              </w:rPr>
              <w:t>35,000</w:t>
            </w:r>
          </w:p>
        </w:tc>
        <w:tc>
          <w:tcPr>
            <w:tcW w:w="1988" w:type="dxa"/>
          </w:tcPr>
          <w:p w:rsidR="00352C92" w:rsidRDefault="00352C92" w:rsidP="001A021A">
            <w:pPr>
              <w:pStyle w:val="Default"/>
              <w:jc w:val="center"/>
              <w:rPr>
                <w:sz w:val="20"/>
                <w:szCs w:val="20"/>
              </w:rPr>
            </w:pPr>
            <w:r>
              <w:rPr>
                <w:sz w:val="20"/>
                <w:szCs w:val="20"/>
              </w:rPr>
              <w:t>3,500</w:t>
            </w:r>
          </w:p>
        </w:tc>
      </w:tr>
      <w:tr w:rsidR="00352C92" w:rsidTr="00352C92">
        <w:tc>
          <w:tcPr>
            <w:tcW w:w="2808" w:type="dxa"/>
          </w:tcPr>
          <w:p w:rsidR="00352C92" w:rsidRDefault="00352C92" w:rsidP="001A021A">
            <w:pPr>
              <w:pStyle w:val="Default"/>
              <w:jc w:val="center"/>
              <w:rPr>
                <w:rFonts w:asciiTheme="minorHAnsi" w:hAnsiTheme="minorHAnsi"/>
              </w:rPr>
            </w:pPr>
          </w:p>
        </w:tc>
        <w:tc>
          <w:tcPr>
            <w:tcW w:w="1710" w:type="dxa"/>
          </w:tcPr>
          <w:p w:rsidR="00352C92" w:rsidRDefault="00352C92" w:rsidP="001A021A">
            <w:pPr>
              <w:pStyle w:val="Default"/>
              <w:jc w:val="center"/>
              <w:rPr>
                <w:sz w:val="20"/>
                <w:szCs w:val="20"/>
              </w:rPr>
            </w:pPr>
            <w:r>
              <w:rPr>
                <w:sz w:val="20"/>
                <w:szCs w:val="20"/>
              </w:rPr>
              <w:t>2 days delay</w:t>
            </w:r>
          </w:p>
        </w:tc>
        <w:tc>
          <w:tcPr>
            <w:tcW w:w="1800" w:type="dxa"/>
          </w:tcPr>
          <w:p w:rsidR="00352C92" w:rsidRDefault="00352C92" w:rsidP="001A021A">
            <w:pPr>
              <w:pStyle w:val="Default"/>
              <w:jc w:val="center"/>
              <w:rPr>
                <w:sz w:val="20"/>
                <w:szCs w:val="20"/>
              </w:rPr>
            </w:pPr>
            <w:r>
              <w:rPr>
                <w:sz w:val="20"/>
                <w:szCs w:val="20"/>
              </w:rPr>
              <w:t>0.10</w:t>
            </w:r>
          </w:p>
        </w:tc>
        <w:tc>
          <w:tcPr>
            <w:tcW w:w="1630" w:type="dxa"/>
          </w:tcPr>
          <w:p w:rsidR="00352C92" w:rsidRDefault="00352C92" w:rsidP="001A021A">
            <w:pPr>
              <w:pStyle w:val="Default"/>
              <w:jc w:val="center"/>
              <w:rPr>
                <w:sz w:val="20"/>
                <w:szCs w:val="20"/>
              </w:rPr>
            </w:pPr>
            <w:r>
              <w:rPr>
                <w:sz w:val="20"/>
                <w:szCs w:val="20"/>
              </w:rPr>
              <w:t>30,000</w:t>
            </w:r>
          </w:p>
        </w:tc>
        <w:tc>
          <w:tcPr>
            <w:tcW w:w="1988" w:type="dxa"/>
          </w:tcPr>
          <w:p w:rsidR="00352C92" w:rsidRDefault="00352C92" w:rsidP="001A021A">
            <w:pPr>
              <w:pStyle w:val="Default"/>
              <w:jc w:val="center"/>
              <w:rPr>
                <w:sz w:val="20"/>
                <w:szCs w:val="20"/>
              </w:rPr>
            </w:pPr>
            <w:r>
              <w:rPr>
                <w:sz w:val="20"/>
                <w:szCs w:val="20"/>
              </w:rPr>
              <w:t>3,000</w:t>
            </w:r>
          </w:p>
        </w:tc>
      </w:tr>
      <w:tr w:rsidR="00352C92" w:rsidTr="00352C92">
        <w:tc>
          <w:tcPr>
            <w:tcW w:w="2808" w:type="dxa"/>
          </w:tcPr>
          <w:p w:rsidR="00352C92" w:rsidRDefault="00352C92" w:rsidP="001A021A">
            <w:pPr>
              <w:pStyle w:val="Default"/>
              <w:jc w:val="center"/>
              <w:rPr>
                <w:rFonts w:asciiTheme="minorHAnsi" w:hAnsiTheme="minorHAnsi"/>
              </w:rPr>
            </w:pPr>
          </w:p>
        </w:tc>
        <w:tc>
          <w:tcPr>
            <w:tcW w:w="1710" w:type="dxa"/>
          </w:tcPr>
          <w:p w:rsidR="00352C92" w:rsidRDefault="00352C92" w:rsidP="001A021A">
            <w:pPr>
              <w:pStyle w:val="Default"/>
              <w:jc w:val="center"/>
              <w:rPr>
                <w:sz w:val="20"/>
                <w:szCs w:val="20"/>
              </w:rPr>
            </w:pPr>
            <w:r>
              <w:rPr>
                <w:sz w:val="20"/>
                <w:szCs w:val="20"/>
              </w:rPr>
              <w:t>3 or more days delay</w:t>
            </w:r>
          </w:p>
        </w:tc>
        <w:tc>
          <w:tcPr>
            <w:tcW w:w="1800" w:type="dxa"/>
          </w:tcPr>
          <w:p w:rsidR="00352C92" w:rsidRDefault="00352C92" w:rsidP="001A021A">
            <w:pPr>
              <w:pStyle w:val="Default"/>
              <w:jc w:val="center"/>
              <w:rPr>
                <w:sz w:val="20"/>
                <w:szCs w:val="20"/>
              </w:rPr>
            </w:pPr>
            <w:r>
              <w:rPr>
                <w:sz w:val="20"/>
                <w:szCs w:val="20"/>
              </w:rPr>
              <w:t>0.05</w:t>
            </w:r>
          </w:p>
        </w:tc>
        <w:tc>
          <w:tcPr>
            <w:tcW w:w="1630" w:type="dxa"/>
          </w:tcPr>
          <w:p w:rsidR="00352C92" w:rsidRDefault="00352C92" w:rsidP="001A021A">
            <w:pPr>
              <w:pStyle w:val="Default"/>
              <w:jc w:val="center"/>
              <w:rPr>
                <w:sz w:val="20"/>
                <w:szCs w:val="20"/>
              </w:rPr>
            </w:pPr>
            <w:r>
              <w:rPr>
                <w:sz w:val="20"/>
                <w:szCs w:val="20"/>
              </w:rPr>
              <w:t>25,000</w:t>
            </w:r>
          </w:p>
        </w:tc>
        <w:tc>
          <w:tcPr>
            <w:tcW w:w="1988" w:type="dxa"/>
          </w:tcPr>
          <w:p w:rsidR="00352C92" w:rsidRDefault="00352C92" w:rsidP="001A021A">
            <w:pPr>
              <w:pStyle w:val="Default"/>
              <w:jc w:val="center"/>
              <w:rPr>
                <w:sz w:val="20"/>
                <w:szCs w:val="20"/>
              </w:rPr>
            </w:pPr>
            <w:r>
              <w:rPr>
                <w:sz w:val="20"/>
                <w:szCs w:val="20"/>
              </w:rPr>
              <w:t>1,250</w:t>
            </w:r>
          </w:p>
        </w:tc>
      </w:tr>
      <w:tr w:rsidR="00352C92" w:rsidTr="00352C92">
        <w:tc>
          <w:tcPr>
            <w:tcW w:w="2808" w:type="dxa"/>
          </w:tcPr>
          <w:p w:rsidR="00352C92" w:rsidRDefault="00352C92" w:rsidP="001A021A">
            <w:pPr>
              <w:pStyle w:val="Default"/>
              <w:jc w:val="center"/>
              <w:rPr>
                <w:rFonts w:cstheme="minorBidi"/>
                <w:color w:val="auto"/>
              </w:rPr>
            </w:pPr>
          </w:p>
          <w:p w:rsidR="00352C92" w:rsidRDefault="00352C92" w:rsidP="001A021A">
            <w:pPr>
              <w:pStyle w:val="Default"/>
              <w:jc w:val="center"/>
              <w:rPr>
                <w:sz w:val="20"/>
                <w:szCs w:val="20"/>
              </w:rPr>
            </w:pPr>
            <w:r>
              <w:rPr>
                <w:sz w:val="20"/>
                <w:szCs w:val="20"/>
              </w:rPr>
              <w:t xml:space="preserve">(ii) Take </w:t>
            </w:r>
            <w:r>
              <w:rPr>
                <w:b/>
                <w:bCs/>
                <w:sz w:val="20"/>
                <w:szCs w:val="20"/>
              </w:rPr>
              <w:t>Project B</w:t>
            </w:r>
          </w:p>
          <w:p w:rsidR="00352C92" w:rsidRDefault="00352C92" w:rsidP="001A021A">
            <w:pPr>
              <w:pStyle w:val="Default"/>
              <w:jc w:val="center"/>
              <w:rPr>
                <w:sz w:val="20"/>
                <w:szCs w:val="20"/>
              </w:rPr>
            </w:pPr>
          </w:p>
        </w:tc>
        <w:tc>
          <w:tcPr>
            <w:tcW w:w="1710" w:type="dxa"/>
          </w:tcPr>
          <w:p w:rsidR="00352C92" w:rsidRDefault="00352C92" w:rsidP="001A021A">
            <w:pPr>
              <w:pStyle w:val="Default"/>
              <w:jc w:val="center"/>
              <w:rPr>
                <w:sz w:val="20"/>
                <w:szCs w:val="20"/>
              </w:rPr>
            </w:pPr>
            <w:r>
              <w:rPr>
                <w:sz w:val="20"/>
                <w:szCs w:val="20"/>
              </w:rPr>
              <w:t>Completed in 2 days</w:t>
            </w:r>
          </w:p>
        </w:tc>
        <w:tc>
          <w:tcPr>
            <w:tcW w:w="1800" w:type="dxa"/>
          </w:tcPr>
          <w:p w:rsidR="00352C92" w:rsidRDefault="00352C92" w:rsidP="001A021A">
            <w:pPr>
              <w:pStyle w:val="Default"/>
              <w:jc w:val="center"/>
              <w:rPr>
                <w:sz w:val="20"/>
                <w:szCs w:val="20"/>
              </w:rPr>
            </w:pPr>
            <w:r>
              <w:rPr>
                <w:sz w:val="20"/>
                <w:szCs w:val="20"/>
              </w:rPr>
              <w:t>0.50</w:t>
            </w:r>
          </w:p>
        </w:tc>
        <w:tc>
          <w:tcPr>
            <w:tcW w:w="1630" w:type="dxa"/>
          </w:tcPr>
          <w:p w:rsidR="00352C92" w:rsidRDefault="00352C92" w:rsidP="001A021A">
            <w:pPr>
              <w:pStyle w:val="Default"/>
              <w:jc w:val="center"/>
              <w:rPr>
                <w:sz w:val="20"/>
                <w:szCs w:val="20"/>
              </w:rPr>
            </w:pPr>
            <w:r>
              <w:rPr>
                <w:sz w:val="20"/>
                <w:szCs w:val="20"/>
              </w:rPr>
              <w:t>37,500</w:t>
            </w:r>
          </w:p>
        </w:tc>
        <w:tc>
          <w:tcPr>
            <w:tcW w:w="1988" w:type="dxa"/>
          </w:tcPr>
          <w:p w:rsidR="00352C92" w:rsidRDefault="00352C92" w:rsidP="001A021A">
            <w:pPr>
              <w:pStyle w:val="Default"/>
              <w:jc w:val="center"/>
              <w:rPr>
                <w:sz w:val="20"/>
                <w:szCs w:val="20"/>
              </w:rPr>
            </w:pPr>
            <w:r>
              <w:rPr>
                <w:sz w:val="20"/>
                <w:szCs w:val="20"/>
              </w:rPr>
              <w:t>18,750</w:t>
            </w:r>
          </w:p>
        </w:tc>
      </w:tr>
      <w:tr w:rsidR="00352C92" w:rsidTr="00352C92">
        <w:tc>
          <w:tcPr>
            <w:tcW w:w="2808" w:type="dxa"/>
          </w:tcPr>
          <w:p w:rsidR="00352C92" w:rsidRDefault="00352C92" w:rsidP="001A021A">
            <w:pPr>
              <w:pStyle w:val="Default"/>
              <w:jc w:val="center"/>
              <w:rPr>
                <w:rFonts w:asciiTheme="minorHAnsi" w:hAnsiTheme="minorHAnsi"/>
              </w:rPr>
            </w:pPr>
          </w:p>
        </w:tc>
        <w:tc>
          <w:tcPr>
            <w:tcW w:w="1710" w:type="dxa"/>
          </w:tcPr>
          <w:p w:rsidR="00352C92" w:rsidRDefault="00352C92" w:rsidP="001A021A">
            <w:pPr>
              <w:pStyle w:val="Default"/>
              <w:jc w:val="center"/>
              <w:rPr>
                <w:sz w:val="20"/>
                <w:szCs w:val="20"/>
              </w:rPr>
            </w:pPr>
            <w:r>
              <w:rPr>
                <w:sz w:val="20"/>
                <w:szCs w:val="20"/>
              </w:rPr>
              <w:t>Completed in more than 2 days</w:t>
            </w:r>
          </w:p>
        </w:tc>
        <w:tc>
          <w:tcPr>
            <w:tcW w:w="1800" w:type="dxa"/>
          </w:tcPr>
          <w:p w:rsidR="00352C92" w:rsidRDefault="00352C92" w:rsidP="001A021A">
            <w:pPr>
              <w:pStyle w:val="Default"/>
              <w:jc w:val="center"/>
              <w:rPr>
                <w:sz w:val="20"/>
                <w:szCs w:val="20"/>
              </w:rPr>
            </w:pPr>
            <w:r>
              <w:rPr>
                <w:sz w:val="20"/>
                <w:szCs w:val="20"/>
              </w:rPr>
              <w:t>0.50</w:t>
            </w:r>
          </w:p>
        </w:tc>
        <w:tc>
          <w:tcPr>
            <w:tcW w:w="1630" w:type="dxa"/>
          </w:tcPr>
          <w:p w:rsidR="00352C92" w:rsidRDefault="00352C92" w:rsidP="001A021A">
            <w:pPr>
              <w:pStyle w:val="Default"/>
              <w:jc w:val="center"/>
              <w:rPr>
                <w:sz w:val="20"/>
                <w:szCs w:val="20"/>
              </w:rPr>
            </w:pPr>
            <w:r>
              <w:rPr>
                <w:sz w:val="20"/>
                <w:szCs w:val="20"/>
              </w:rPr>
              <w:t>0</w:t>
            </w:r>
          </w:p>
        </w:tc>
        <w:tc>
          <w:tcPr>
            <w:tcW w:w="1988" w:type="dxa"/>
          </w:tcPr>
          <w:p w:rsidR="00352C92" w:rsidRDefault="00352C92" w:rsidP="001A021A">
            <w:pPr>
              <w:pStyle w:val="Default"/>
              <w:jc w:val="center"/>
              <w:rPr>
                <w:sz w:val="20"/>
                <w:szCs w:val="20"/>
              </w:rPr>
            </w:pPr>
            <w:r>
              <w:rPr>
                <w:sz w:val="20"/>
                <w:szCs w:val="20"/>
              </w:rPr>
              <w:t>0</w:t>
            </w:r>
          </w:p>
        </w:tc>
      </w:tr>
      <w:tr w:rsidR="00352C92" w:rsidTr="00352C92">
        <w:tc>
          <w:tcPr>
            <w:tcW w:w="2808" w:type="dxa"/>
          </w:tcPr>
          <w:p w:rsidR="00352C92" w:rsidRDefault="00352C92" w:rsidP="001A021A">
            <w:pPr>
              <w:pStyle w:val="Default"/>
              <w:jc w:val="center"/>
              <w:rPr>
                <w:rFonts w:asciiTheme="minorHAnsi" w:hAnsiTheme="minorHAnsi"/>
              </w:rPr>
            </w:pPr>
          </w:p>
        </w:tc>
        <w:tc>
          <w:tcPr>
            <w:tcW w:w="1710" w:type="dxa"/>
          </w:tcPr>
          <w:p w:rsidR="00352C92" w:rsidRDefault="00352C92" w:rsidP="001A021A">
            <w:pPr>
              <w:pStyle w:val="Default"/>
              <w:jc w:val="center"/>
              <w:rPr>
                <w:rFonts w:asciiTheme="minorHAnsi" w:hAnsiTheme="minorHAnsi"/>
              </w:rPr>
            </w:pPr>
          </w:p>
        </w:tc>
        <w:tc>
          <w:tcPr>
            <w:tcW w:w="1800" w:type="dxa"/>
          </w:tcPr>
          <w:p w:rsidR="00352C92" w:rsidRDefault="00352C92" w:rsidP="001A021A">
            <w:pPr>
              <w:pStyle w:val="Default"/>
              <w:jc w:val="center"/>
              <w:rPr>
                <w:rFonts w:asciiTheme="minorHAnsi" w:hAnsiTheme="minorHAnsi"/>
              </w:rPr>
            </w:pPr>
          </w:p>
        </w:tc>
        <w:tc>
          <w:tcPr>
            <w:tcW w:w="1630" w:type="dxa"/>
          </w:tcPr>
          <w:p w:rsidR="00352C92" w:rsidRDefault="00352C92" w:rsidP="001A021A">
            <w:pPr>
              <w:pStyle w:val="Default"/>
              <w:jc w:val="center"/>
              <w:rPr>
                <w:rFonts w:asciiTheme="minorHAnsi" w:hAnsiTheme="minorHAnsi"/>
              </w:rPr>
            </w:pPr>
          </w:p>
        </w:tc>
        <w:tc>
          <w:tcPr>
            <w:tcW w:w="1988" w:type="dxa"/>
          </w:tcPr>
          <w:p w:rsidR="00352C92" w:rsidRDefault="00352C92" w:rsidP="001A021A">
            <w:pPr>
              <w:pStyle w:val="Default"/>
              <w:jc w:val="center"/>
              <w:rPr>
                <w:sz w:val="20"/>
                <w:szCs w:val="20"/>
              </w:rPr>
            </w:pPr>
            <w:r>
              <w:rPr>
                <w:b/>
                <w:bCs/>
                <w:sz w:val="20"/>
                <w:szCs w:val="20"/>
              </w:rPr>
              <w:t>18,750</w:t>
            </w:r>
          </w:p>
          <w:p w:rsidR="00352C92" w:rsidRDefault="00352C92" w:rsidP="001A021A">
            <w:pPr>
              <w:pStyle w:val="Default"/>
              <w:jc w:val="center"/>
              <w:rPr>
                <w:rFonts w:asciiTheme="minorHAnsi" w:hAnsiTheme="minorHAnsi"/>
              </w:rPr>
            </w:pPr>
          </w:p>
        </w:tc>
      </w:tr>
    </w:tbl>
    <w:p w:rsidR="00937A35" w:rsidRPr="00BC36B7" w:rsidRDefault="00937A35" w:rsidP="00352C92">
      <w:pPr>
        <w:pStyle w:val="Default"/>
        <w:rPr>
          <w:rFonts w:asciiTheme="minorHAnsi" w:hAnsiTheme="minorHAnsi"/>
        </w:rPr>
      </w:pPr>
    </w:p>
    <w:p w:rsidR="000449B2" w:rsidRPr="00BC36B7" w:rsidRDefault="000449B2" w:rsidP="000449B2">
      <w:pPr>
        <w:pStyle w:val="Default"/>
        <w:rPr>
          <w:rFonts w:asciiTheme="minorHAnsi" w:hAnsiTheme="minorHAnsi"/>
        </w:rPr>
      </w:pPr>
      <w:r w:rsidRPr="00BC36B7">
        <w:rPr>
          <w:rFonts w:asciiTheme="minorHAnsi" w:hAnsiTheme="minorHAnsi"/>
          <w:b/>
          <w:bCs/>
        </w:rPr>
        <w:t xml:space="preserve">Conclusion: </w:t>
      </w:r>
      <w:r w:rsidRPr="00BC36B7">
        <w:rPr>
          <w:rFonts w:asciiTheme="minorHAnsi" w:hAnsiTheme="minorHAnsi"/>
        </w:rPr>
        <w:t xml:space="preserve">Hence we conclude that Project A must be selected, giving an expected profit of 37,750 as against the expected profit of </w:t>
      </w:r>
      <w:r w:rsidRPr="00BC36B7">
        <w:rPr>
          <w:rFonts w:asciiTheme="minorHAnsi" w:hAnsiTheme="minorHAnsi" w:cs="Rupee Foradian"/>
        </w:rPr>
        <w:t>`</w:t>
      </w:r>
      <w:r w:rsidRPr="00BC36B7">
        <w:rPr>
          <w:rFonts w:asciiTheme="minorHAnsi" w:hAnsiTheme="minorHAnsi"/>
        </w:rPr>
        <w:t>18,750 from Project B.</w:t>
      </w:r>
    </w:p>
    <w:p w:rsidR="008740D2" w:rsidRPr="00FD5977" w:rsidRDefault="008740D2" w:rsidP="008740D2">
      <w:pPr>
        <w:rPr>
          <w:rFonts w:cs="TTFF4BA0E8t00"/>
          <w:b/>
          <w:color w:val="FF0000"/>
          <w:sz w:val="24"/>
          <w:szCs w:val="24"/>
          <w:u w:val="single"/>
        </w:rPr>
      </w:pPr>
      <w:r w:rsidRPr="00FD5977">
        <w:rPr>
          <w:rFonts w:cs="TTFF4BA0E8t00"/>
          <w:b/>
          <w:color w:val="FF0000"/>
          <w:sz w:val="24"/>
          <w:szCs w:val="24"/>
          <w:u w:val="single"/>
        </w:rPr>
        <w:t>Case Study</w:t>
      </w:r>
      <w:r w:rsidR="00FD5977" w:rsidRPr="00FD5977">
        <w:rPr>
          <w:rFonts w:cs="TTFF4BA0E8t00"/>
          <w:b/>
          <w:color w:val="FF0000"/>
          <w:sz w:val="24"/>
          <w:szCs w:val="24"/>
          <w:u w:val="single"/>
        </w:rPr>
        <w:t>: 4</w:t>
      </w:r>
    </w:p>
    <w:p w:rsidR="008740D2" w:rsidRPr="00BC36B7" w:rsidRDefault="008740D2" w:rsidP="008740D2">
      <w:pPr>
        <w:pStyle w:val="Default"/>
        <w:rPr>
          <w:rFonts w:asciiTheme="minorHAnsi" w:hAnsiTheme="minorHAnsi"/>
        </w:rPr>
      </w:pPr>
      <w:r w:rsidRPr="00BC36B7">
        <w:rPr>
          <w:rFonts w:asciiTheme="minorHAnsi" w:hAnsiTheme="minorHAnsi"/>
          <w:b/>
          <w:bCs/>
        </w:rPr>
        <w:t xml:space="preserve">(a) Limitations of the Game Theory: </w:t>
      </w:r>
    </w:p>
    <w:p w:rsidR="008740D2" w:rsidRPr="00BC36B7" w:rsidRDefault="008740D2" w:rsidP="008740D2">
      <w:pPr>
        <w:pStyle w:val="Default"/>
        <w:rPr>
          <w:rFonts w:asciiTheme="minorHAnsi" w:hAnsiTheme="minorHAnsi"/>
        </w:rPr>
      </w:pPr>
      <w:r w:rsidRPr="00BC36B7">
        <w:rPr>
          <w:rFonts w:asciiTheme="minorHAnsi" w:hAnsiTheme="minorHAnsi"/>
        </w:rPr>
        <w:lastRenderedPageBreak/>
        <w:t xml:space="preserve">Discussion of game theory has been restricted to the two-person zero-sum games. There are practically no applications of game theory to the real world situations. This is because of the assumptions underlying the theory. </w:t>
      </w:r>
    </w:p>
    <w:p w:rsidR="008740D2" w:rsidRPr="00BC36B7" w:rsidRDefault="008740D2" w:rsidP="008740D2">
      <w:pPr>
        <w:pStyle w:val="Default"/>
        <w:rPr>
          <w:rFonts w:asciiTheme="minorHAnsi" w:hAnsiTheme="minorHAnsi"/>
        </w:rPr>
      </w:pPr>
      <w:r w:rsidRPr="00BC36B7">
        <w:rPr>
          <w:rFonts w:asciiTheme="minorHAnsi" w:hAnsiTheme="minorHAnsi"/>
        </w:rPr>
        <w:t xml:space="preserve">The game model that is based on the assumption that each of the individuals involved not only acts rationally but preference ordering of the outcomes is determined by the order of magnitudes of their associated pay-offs, but also he assumes that the opponent is also rational in that sense. Besides, it is also assumed that both the players are having complete and equal knowledge about the strategies available to them and the resulting pay-offs. It can easily be visualized that in real world situations, it’s only but rarely that each of the persons would have complete knowledge about all the strategies available to his competitor, as also of the exact pay-off values associated with various combinations of strategies. </w:t>
      </w:r>
    </w:p>
    <w:p w:rsidR="008740D2" w:rsidRPr="00BC36B7" w:rsidRDefault="008740D2" w:rsidP="008740D2">
      <w:pPr>
        <w:pStyle w:val="Default"/>
        <w:rPr>
          <w:rFonts w:asciiTheme="minorHAnsi" w:hAnsiTheme="minorHAnsi"/>
        </w:rPr>
      </w:pPr>
      <w:r w:rsidRPr="00BC36B7">
        <w:rPr>
          <w:rFonts w:asciiTheme="minorHAnsi" w:hAnsiTheme="minorHAnsi"/>
        </w:rPr>
        <w:t xml:space="preserve">The limitations of the Game Theory are given below: </w:t>
      </w:r>
    </w:p>
    <w:p w:rsidR="008740D2" w:rsidRPr="00BC36B7" w:rsidRDefault="008740D2" w:rsidP="008740D2">
      <w:pPr>
        <w:pStyle w:val="Default"/>
        <w:rPr>
          <w:rFonts w:asciiTheme="minorHAnsi" w:hAnsiTheme="minorHAnsi"/>
        </w:rPr>
      </w:pPr>
      <w:r w:rsidRPr="00BC36B7">
        <w:rPr>
          <w:rFonts w:asciiTheme="minorHAnsi" w:hAnsiTheme="minorHAnsi"/>
          <w:b/>
          <w:bCs/>
        </w:rPr>
        <w:t xml:space="preserve">Limitations </w:t>
      </w:r>
    </w:p>
    <w:p w:rsidR="008740D2" w:rsidRPr="00BC36B7" w:rsidRDefault="008740D2" w:rsidP="008740D2">
      <w:pPr>
        <w:pStyle w:val="Default"/>
        <w:spacing w:after="26"/>
        <w:rPr>
          <w:rFonts w:asciiTheme="minorHAnsi" w:hAnsiTheme="minorHAnsi"/>
        </w:rPr>
      </w:pPr>
      <w:r w:rsidRPr="00BC36B7">
        <w:rPr>
          <w:rFonts w:asciiTheme="minorHAnsi" w:hAnsiTheme="minorHAnsi"/>
          <w:b/>
          <w:bCs/>
        </w:rPr>
        <w:t xml:space="preserve">(i) </w:t>
      </w:r>
      <w:r w:rsidRPr="00BC36B7">
        <w:rPr>
          <w:rFonts w:asciiTheme="minorHAnsi" w:hAnsiTheme="minorHAnsi"/>
        </w:rPr>
        <w:t xml:space="preserve">The assumption that players have the knowledge about their own pay-offs and pay-offs of others is not practical. </w:t>
      </w:r>
    </w:p>
    <w:p w:rsidR="008740D2" w:rsidRPr="00BC36B7" w:rsidRDefault="008740D2" w:rsidP="008740D2">
      <w:pPr>
        <w:pStyle w:val="Default"/>
        <w:rPr>
          <w:rFonts w:asciiTheme="minorHAnsi" w:hAnsiTheme="minorHAnsi"/>
        </w:rPr>
      </w:pPr>
      <w:r w:rsidRPr="00BC36B7">
        <w:rPr>
          <w:rFonts w:asciiTheme="minorHAnsi" w:hAnsiTheme="minorHAnsi"/>
          <w:b/>
          <w:bCs/>
        </w:rPr>
        <w:t xml:space="preserve">(ii) </w:t>
      </w:r>
      <w:r w:rsidRPr="00BC36B7">
        <w:rPr>
          <w:rFonts w:asciiTheme="minorHAnsi" w:hAnsiTheme="minorHAnsi"/>
        </w:rPr>
        <w:t xml:space="preserve">The techniques of solving games involving mixed strategies particularly in case of large pay-off matrix are very complicated. </w:t>
      </w:r>
    </w:p>
    <w:p w:rsidR="008740D2" w:rsidRPr="00BC36B7" w:rsidRDefault="008740D2" w:rsidP="008740D2">
      <w:pPr>
        <w:pStyle w:val="Default"/>
        <w:rPr>
          <w:rFonts w:asciiTheme="minorHAnsi" w:hAnsiTheme="minorHAnsi"/>
        </w:rPr>
      </w:pPr>
      <w:r w:rsidRPr="00BC36B7">
        <w:rPr>
          <w:rFonts w:asciiTheme="minorHAnsi" w:hAnsiTheme="minorHAnsi"/>
          <w:b/>
          <w:bCs/>
        </w:rPr>
        <w:t xml:space="preserve">(iii) </w:t>
      </w:r>
      <w:r w:rsidRPr="00BC36B7">
        <w:rPr>
          <w:rFonts w:asciiTheme="minorHAnsi" w:hAnsiTheme="minorHAnsi"/>
        </w:rPr>
        <w:t xml:space="preserve">All the competitive problems cannot be analyzed with the help of game theory. </w:t>
      </w:r>
    </w:p>
    <w:p w:rsidR="008740D2" w:rsidRPr="00BC36B7" w:rsidRDefault="008740D2" w:rsidP="008740D2">
      <w:pPr>
        <w:pStyle w:val="Default"/>
        <w:rPr>
          <w:rFonts w:asciiTheme="minorHAnsi" w:hAnsiTheme="minorHAnsi"/>
        </w:rPr>
      </w:pPr>
      <w:r w:rsidRPr="00BC36B7">
        <w:rPr>
          <w:rFonts w:asciiTheme="minorHAnsi" w:hAnsiTheme="minorHAnsi"/>
          <w:b/>
          <w:bCs/>
        </w:rPr>
        <w:t xml:space="preserve">(b) Mixed Strategy: </w:t>
      </w:r>
      <w:r w:rsidRPr="00BC36B7">
        <w:rPr>
          <w:rFonts w:asciiTheme="minorHAnsi" w:hAnsiTheme="minorHAnsi"/>
        </w:rPr>
        <w:t xml:space="preserve">When the players use a combination of strategies and each player always kept guessing as to which course of action is to be selected by the other player at a particular occasion then this is known as mixed-strategy. Thus, there is a probabilistic situation and objective of the player is to maximize expected gains or to minimize losses. Thus mixed strategy is a selection among pure strategies with fixed probabilities. </w:t>
      </w:r>
    </w:p>
    <w:p w:rsidR="008740D2" w:rsidRPr="00BC36B7" w:rsidRDefault="008740D2" w:rsidP="008740D2">
      <w:pPr>
        <w:pStyle w:val="Default"/>
        <w:rPr>
          <w:rFonts w:asciiTheme="minorHAnsi" w:hAnsiTheme="minorHAnsi"/>
        </w:rPr>
      </w:pPr>
      <w:r w:rsidRPr="00BC36B7">
        <w:rPr>
          <w:rFonts w:asciiTheme="minorHAnsi" w:hAnsiTheme="minorHAnsi"/>
          <w:b/>
          <w:bCs/>
        </w:rPr>
        <w:t xml:space="preserve">Optimal Strategies: </w:t>
      </w:r>
      <w:r w:rsidRPr="00BC36B7">
        <w:rPr>
          <w:rFonts w:asciiTheme="minorHAnsi" w:hAnsiTheme="minorHAnsi"/>
        </w:rPr>
        <w:t xml:space="preserve">A course of action or play which puts the player in the most preferred position, irrespective of the strategy of his competitors is called an optimal strategy. Any deviation from this strategy results in a decreased pay-off for the player. </w:t>
      </w:r>
    </w:p>
    <w:p w:rsidR="008740D2" w:rsidRPr="00BC36B7" w:rsidRDefault="008740D2" w:rsidP="008740D2">
      <w:pPr>
        <w:pStyle w:val="Default"/>
        <w:rPr>
          <w:rFonts w:asciiTheme="minorHAnsi" w:hAnsiTheme="minorHAnsi"/>
        </w:rPr>
      </w:pPr>
      <w:r w:rsidRPr="00BC36B7">
        <w:rPr>
          <w:rFonts w:asciiTheme="minorHAnsi" w:hAnsiTheme="minorHAnsi"/>
          <w:b/>
          <w:bCs/>
        </w:rPr>
        <w:t xml:space="preserve">Two Person Zero-Sum Game: </w:t>
      </w:r>
      <w:r w:rsidRPr="00BC36B7">
        <w:rPr>
          <w:rFonts w:asciiTheme="minorHAnsi" w:hAnsiTheme="minorHAnsi"/>
        </w:rPr>
        <w:t xml:space="preserve">There are two types of two-person zero-sum games. In one, the most preferred position is achieved by adopting a single strategy and therefore the game is known as the </w:t>
      </w:r>
      <w:r w:rsidRPr="00BC36B7">
        <w:rPr>
          <w:rFonts w:asciiTheme="minorHAnsi" w:hAnsiTheme="minorHAnsi"/>
          <w:i/>
          <w:iCs/>
        </w:rPr>
        <w:t xml:space="preserve">pure strategy game. </w:t>
      </w:r>
      <w:r w:rsidRPr="00BC36B7">
        <w:rPr>
          <w:rFonts w:asciiTheme="minorHAnsi" w:hAnsiTheme="minorHAnsi"/>
        </w:rPr>
        <w:t>The second type requires the adoption by both players a combination of different strategies in order to achieve the most preferred position and is, therefore, referred to as the mixed strategy game</w:t>
      </w:r>
      <w:r w:rsidRPr="00BC36B7">
        <w:rPr>
          <w:rFonts w:asciiTheme="minorHAnsi" w:hAnsiTheme="minorHAnsi"/>
          <w:i/>
          <w:iCs/>
        </w:rPr>
        <w:t xml:space="preserve">. </w:t>
      </w:r>
    </w:p>
    <w:p w:rsidR="008740D2" w:rsidRPr="00BC36B7" w:rsidRDefault="008740D2" w:rsidP="008740D2">
      <w:pPr>
        <w:pStyle w:val="Default"/>
        <w:rPr>
          <w:rFonts w:asciiTheme="minorHAnsi" w:hAnsiTheme="minorHAnsi"/>
        </w:rPr>
      </w:pPr>
      <w:r w:rsidRPr="00BC36B7">
        <w:rPr>
          <w:rFonts w:asciiTheme="minorHAnsi" w:hAnsiTheme="minorHAnsi"/>
          <w:b/>
          <w:bCs/>
        </w:rPr>
        <w:t xml:space="preserve">(c) </w:t>
      </w:r>
      <w:r w:rsidRPr="00BC36B7">
        <w:rPr>
          <w:rFonts w:asciiTheme="minorHAnsi" w:hAnsiTheme="minorHAnsi"/>
        </w:rPr>
        <w:t xml:space="preserve">As it can be seen from the payoff matrix that if one of the firms enters, that firm gains 100 and the other does not get anything. While both enter then both lose 50. It dawned on other firms that FI was following a pragmatic (through unconventional) </w:t>
      </w:r>
      <w:r w:rsidR="007172EA" w:rsidRPr="00BC36B7">
        <w:rPr>
          <w:rFonts w:asciiTheme="minorHAnsi" w:hAnsiTheme="minorHAnsi"/>
        </w:rPr>
        <w:t xml:space="preserve">approach. Rivals, </w:t>
      </w:r>
      <w:r w:rsidR="00A728D7" w:rsidRPr="00BC36B7">
        <w:rPr>
          <w:rFonts w:asciiTheme="minorHAnsi" w:hAnsiTheme="minorHAnsi"/>
        </w:rPr>
        <w:t xml:space="preserve">therefore also to </w:t>
      </w:r>
      <w:r w:rsidRPr="00BC36B7">
        <w:rPr>
          <w:rFonts w:asciiTheme="minorHAnsi" w:hAnsiTheme="minorHAnsi"/>
        </w:rPr>
        <w:t>contemplate about f</w:t>
      </w:r>
      <w:r w:rsidR="007172EA" w:rsidRPr="00BC36B7">
        <w:rPr>
          <w:rFonts w:asciiTheme="minorHAnsi" w:hAnsiTheme="minorHAnsi"/>
        </w:rPr>
        <w:t>ollowing FI expansion strategy,</w:t>
      </w:r>
      <w:r w:rsidRPr="00BC36B7">
        <w:rPr>
          <w:rFonts w:asciiTheme="minorHAnsi" w:hAnsiTheme="minorHAnsi"/>
        </w:rPr>
        <w:t xml:space="preserve">as there was still a largely number of small towns left uncovered by any computer-education centre. FI realized that if this happens, they would be left behind. So the situation was like a pre-emptive game, where every firm would like to enter each town first. </w:t>
      </w:r>
    </w:p>
    <w:p w:rsidR="008740D2" w:rsidRPr="00BC36B7" w:rsidRDefault="008740D2" w:rsidP="008740D2">
      <w:pPr>
        <w:pStyle w:val="Default"/>
        <w:rPr>
          <w:rFonts w:asciiTheme="minorHAnsi" w:hAnsiTheme="minorHAnsi"/>
        </w:rPr>
      </w:pPr>
    </w:p>
    <w:p w:rsidR="00A728D7" w:rsidRDefault="00A728D7" w:rsidP="008740D2">
      <w:pPr>
        <w:pStyle w:val="Default"/>
        <w:rPr>
          <w:rFonts w:asciiTheme="minorHAnsi" w:hAnsiTheme="minorHAnsi"/>
        </w:rPr>
      </w:pPr>
    </w:p>
    <w:p w:rsidR="00FD5977" w:rsidRDefault="00FD5977" w:rsidP="008740D2">
      <w:pPr>
        <w:pStyle w:val="Default"/>
        <w:rPr>
          <w:rFonts w:asciiTheme="minorHAnsi" w:hAnsiTheme="minorHAnsi"/>
        </w:rPr>
      </w:pPr>
    </w:p>
    <w:p w:rsidR="00FD5977" w:rsidRDefault="00FD5977" w:rsidP="008740D2">
      <w:pPr>
        <w:pStyle w:val="Default"/>
        <w:rPr>
          <w:rFonts w:asciiTheme="minorHAnsi" w:hAnsiTheme="minorHAnsi"/>
        </w:rPr>
      </w:pPr>
    </w:p>
    <w:p w:rsidR="00FD5977" w:rsidRPr="00BC36B7" w:rsidRDefault="00FD5977" w:rsidP="008740D2">
      <w:pPr>
        <w:pStyle w:val="Default"/>
        <w:rPr>
          <w:rFonts w:asciiTheme="minorHAnsi" w:hAnsiTheme="minorHAnsi"/>
        </w:rPr>
      </w:pPr>
    </w:p>
    <w:p w:rsidR="00A728D7" w:rsidRPr="00FD5977" w:rsidRDefault="00A728D7" w:rsidP="00A728D7">
      <w:pPr>
        <w:rPr>
          <w:b/>
          <w:color w:val="FF0000"/>
          <w:sz w:val="24"/>
          <w:szCs w:val="24"/>
          <w:u w:val="single"/>
        </w:rPr>
      </w:pPr>
      <w:r w:rsidRPr="00FD5977">
        <w:rPr>
          <w:b/>
          <w:color w:val="FF0000"/>
          <w:sz w:val="24"/>
          <w:szCs w:val="24"/>
          <w:u w:val="single"/>
        </w:rPr>
        <w:t>Case study -5</w:t>
      </w:r>
    </w:p>
    <w:p w:rsidR="00A728D7" w:rsidRPr="00BC36B7" w:rsidRDefault="00A728D7" w:rsidP="00A728D7">
      <w:pPr>
        <w:pStyle w:val="Default"/>
        <w:rPr>
          <w:rFonts w:asciiTheme="minorHAnsi" w:hAnsiTheme="minorHAnsi"/>
          <w:b/>
          <w:bCs/>
        </w:rPr>
      </w:pPr>
      <w:r w:rsidRPr="00BC36B7">
        <w:rPr>
          <w:rFonts w:asciiTheme="minorHAnsi" w:hAnsiTheme="minorHAnsi"/>
          <w:b/>
          <w:bCs/>
        </w:rPr>
        <w:t>Answer:</w:t>
      </w:r>
    </w:p>
    <w:p w:rsidR="00A728D7" w:rsidRPr="00BC36B7" w:rsidRDefault="00A728D7" w:rsidP="00A728D7">
      <w:pPr>
        <w:pStyle w:val="Default"/>
        <w:rPr>
          <w:rFonts w:asciiTheme="minorHAnsi" w:hAnsiTheme="minorHAnsi"/>
          <w:b/>
          <w:bCs/>
        </w:rPr>
      </w:pPr>
    </w:p>
    <w:p w:rsidR="00A728D7" w:rsidRPr="00BC36B7" w:rsidRDefault="00A728D7" w:rsidP="00A728D7">
      <w:pPr>
        <w:pStyle w:val="Pa30"/>
        <w:spacing w:after="100"/>
        <w:jc w:val="both"/>
        <w:rPr>
          <w:rFonts w:asciiTheme="minorHAnsi" w:hAnsiTheme="minorHAnsi" w:cs="Century Gothic"/>
          <w:color w:val="000000"/>
        </w:rPr>
      </w:pPr>
      <w:r w:rsidRPr="00BC36B7">
        <w:rPr>
          <w:rFonts w:asciiTheme="minorHAnsi" w:hAnsiTheme="minorHAnsi"/>
          <w:b/>
        </w:rPr>
        <w:t>a)</w:t>
      </w:r>
      <w:r w:rsidRPr="00BC36B7">
        <w:rPr>
          <w:rFonts w:asciiTheme="minorHAnsi" w:hAnsiTheme="minorHAnsi" w:cs="Century Gothic"/>
          <w:b/>
          <w:bCs/>
          <w:color w:val="000000"/>
        </w:rPr>
        <w:t xml:space="preserve"> Objective of Supply Chain Management: </w:t>
      </w:r>
    </w:p>
    <w:p w:rsidR="00A728D7" w:rsidRPr="00BC36B7" w:rsidRDefault="00A728D7" w:rsidP="00A728D7">
      <w:pPr>
        <w:pStyle w:val="Pa10"/>
        <w:spacing w:after="100"/>
        <w:ind w:left="440" w:hanging="440"/>
        <w:jc w:val="both"/>
        <w:rPr>
          <w:rFonts w:asciiTheme="minorHAnsi" w:hAnsiTheme="minorHAnsi" w:cs="Century Gothic"/>
          <w:color w:val="000000"/>
        </w:rPr>
      </w:pPr>
      <w:r w:rsidRPr="00BC36B7">
        <w:rPr>
          <w:rFonts w:asciiTheme="minorHAnsi" w:hAnsiTheme="minorHAnsi" w:cs="Century Gothic"/>
          <w:b/>
          <w:bCs/>
          <w:color w:val="000000"/>
        </w:rPr>
        <w:t xml:space="preserve">i. </w:t>
      </w:r>
      <w:r w:rsidRPr="00BC36B7">
        <w:rPr>
          <w:rFonts w:asciiTheme="minorHAnsi" w:hAnsiTheme="minorHAnsi" w:cs="Century Gothic"/>
          <w:color w:val="000000"/>
        </w:rPr>
        <w:t xml:space="preserve">Supply chain Management takes into consideration every facility that has an impact on cost and plays a role in making the product conform to customer requirements: from supplier and manufacturing facilities through warehouses and distribution centers to retailers and stores. </w:t>
      </w:r>
    </w:p>
    <w:p w:rsidR="00A728D7" w:rsidRPr="00BC36B7" w:rsidRDefault="00A728D7" w:rsidP="00A728D7">
      <w:pPr>
        <w:pStyle w:val="Pa10"/>
        <w:spacing w:after="100"/>
        <w:ind w:left="440" w:hanging="440"/>
        <w:jc w:val="both"/>
        <w:rPr>
          <w:rFonts w:asciiTheme="minorHAnsi" w:hAnsiTheme="minorHAnsi" w:cs="Century Gothic"/>
          <w:color w:val="000000"/>
        </w:rPr>
      </w:pPr>
      <w:r w:rsidRPr="00BC36B7">
        <w:rPr>
          <w:rFonts w:asciiTheme="minorHAnsi" w:hAnsiTheme="minorHAnsi" w:cs="Century Gothic"/>
          <w:b/>
          <w:bCs/>
          <w:color w:val="000000"/>
        </w:rPr>
        <w:t xml:space="preserve">ii. </w:t>
      </w:r>
      <w:r w:rsidRPr="00BC36B7">
        <w:rPr>
          <w:rFonts w:asciiTheme="minorHAnsi" w:hAnsiTheme="minorHAnsi" w:cs="Century Gothic"/>
          <w:color w:val="000000"/>
        </w:rPr>
        <w:t xml:space="preserve">The supply chain management is to be efficient and cost –effective across the entire system; total system wide costs from transportation and distribution to inventories of raw materials, work – in-process and finished goods are to be minimized. </w:t>
      </w:r>
    </w:p>
    <w:p w:rsidR="00A728D7" w:rsidRPr="00BC36B7" w:rsidRDefault="00A728D7" w:rsidP="00A728D7">
      <w:pPr>
        <w:pStyle w:val="Default"/>
        <w:rPr>
          <w:rFonts w:asciiTheme="minorHAnsi" w:hAnsiTheme="minorHAnsi"/>
        </w:rPr>
      </w:pPr>
      <w:r w:rsidRPr="00BC36B7">
        <w:rPr>
          <w:rFonts w:asciiTheme="minorHAnsi" w:hAnsiTheme="minorHAnsi"/>
          <w:b/>
          <w:bCs/>
        </w:rPr>
        <w:t xml:space="preserve">iii. </w:t>
      </w:r>
      <w:r w:rsidRPr="00BC36B7">
        <w:rPr>
          <w:rFonts w:asciiTheme="minorHAnsi" w:hAnsiTheme="minorHAnsi"/>
        </w:rPr>
        <w:t>Finally, supply chain management revolves around efficient integration of suppliers, manufacturers, warehouses and stores; it encompasses the firm’s activities at many levels, from the strategic level through the tactical to the operational level.</w:t>
      </w:r>
    </w:p>
    <w:p w:rsidR="00A728D7" w:rsidRPr="00BC36B7" w:rsidRDefault="00A728D7" w:rsidP="00A728D7">
      <w:pPr>
        <w:pStyle w:val="Default"/>
        <w:rPr>
          <w:rFonts w:asciiTheme="minorHAnsi" w:hAnsiTheme="minorHAnsi"/>
        </w:rPr>
      </w:pPr>
    </w:p>
    <w:p w:rsidR="00A728D7" w:rsidRPr="00BC36B7" w:rsidRDefault="00890D28" w:rsidP="00A728D7">
      <w:pPr>
        <w:pStyle w:val="Pa30"/>
        <w:spacing w:after="100"/>
        <w:jc w:val="both"/>
        <w:rPr>
          <w:rFonts w:asciiTheme="minorHAnsi" w:hAnsiTheme="minorHAnsi" w:cs="Century Gothic"/>
          <w:color w:val="000000"/>
        </w:rPr>
      </w:pPr>
      <w:r w:rsidRPr="00BC36B7">
        <w:rPr>
          <w:rFonts w:asciiTheme="minorHAnsi" w:hAnsiTheme="minorHAnsi" w:cs="Century Gothic"/>
          <w:b/>
          <w:bCs/>
          <w:color w:val="000000"/>
        </w:rPr>
        <w:t xml:space="preserve">b) </w:t>
      </w:r>
      <w:r w:rsidR="00A728D7" w:rsidRPr="00BC36B7">
        <w:rPr>
          <w:rFonts w:asciiTheme="minorHAnsi" w:hAnsiTheme="minorHAnsi" w:cs="Century Gothic"/>
          <w:b/>
          <w:bCs/>
          <w:color w:val="000000"/>
        </w:rPr>
        <w:t xml:space="preserve">Importance of Supply Chain Management </w:t>
      </w:r>
    </w:p>
    <w:p w:rsidR="00A728D7" w:rsidRPr="00BC36B7" w:rsidRDefault="00A728D7" w:rsidP="00A728D7">
      <w:pPr>
        <w:pStyle w:val="Pa30"/>
        <w:spacing w:after="100"/>
        <w:jc w:val="both"/>
        <w:rPr>
          <w:rFonts w:asciiTheme="minorHAnsi" w:hAnsiTheme="minorHAnsi" w:cs="Century Gothic"/>
          <w:color w:val="000000"/>
        </w:rPr>
      </w:pPr>
      <w:r w:rsidRPr="00BC36B7">
        <w:rPr>
          <w:rFonts w:asciiTheme="minorHAnsi" w:hAnsiTheme="minorHAnsi" w:cs="Century Gothic"/>
          <w:color w:val="000000"/>
        </w:rPr>
        <w:t xml:space="preserve">In the ancient Greek fable about the tortoise and the hare, the speedy and overconfident rabbit fell asleep on the job, while the “slow and steady” turtle won the race. That may have been true in Aesop’s time, but in today’s demanding business environment, “slow and steady” won’t get you out of the starting gate, let alone win any races. Managers these days recognize that getting products to customers faster than the competitor will improve a company’s competitive position. To remain competitive, companies must seek new solutions to important Supply Chain Management issues such as modal analysis, supply chain management, load planning, route planning and distribution network design. Companies must face corporate challenges that impact Supply Chain Management such as reengineering globalization and outsourcing. </w:t>
      </w:r>
    </w:p>
    <w:p w:rsidR="00A728D7" w:rsidRPr="00BC36B7" w:rsidRDefault="00A728D7" w:rsidP="00A728D7">
      <w:pPr>
        <w:pStyle w:val="Default"/>
        <w:rPr>
          <w:rFonts w:asciiTheme="minorHAnsi" w:hAnsiTheme="minorHAnsi"/>
          <w:b/>
          <w:bCs/>
        </w:rPr>
      </w:pPr>
      <w:r w:rsidRPr="00BC36B7">
        <w:rPr>
          <w:rFonts w:asciiTheme="minorHAnsi" w:hAnsiTheme="minorHAnsi"/>
        </w:rPr>
        <w:t xml:space="preserve">Why is it so important for companies to get products to their customers quickly? Faster product availability is key to increasing sales, says R. Michael Donovan of Natick, Mass., a management consultant specializing in manufacturing and information systems. “There’s a substantial profit advantage for the extra time that you are in the market and your competitor is not,” he says. “If you can be there first, you are likely to get more orders and more market share.” The ability to deliver a product faster also can make or break a sale. “If two alternatives [products] appear to be equal and one is immediately available and the other will be available in a week, which would you choose? Clearly, </w:t>
      </w:r>
      <w:r w:rsidRPr="00BC36B7">
        <w:rPr>
          <w:rFonts w:asciiTheme="minorHAnsi" w:hAnsiTheme="minorHAnsi"/>
          <w:b/>
          <w:bCs/>
        </w:rPr>
        <w:t>“Supply Chain Management has an important role to play in moving goods more quickly to their destination. “</w:t>
      </w:r>
    </w:p>
    <w:p w:rsidR="006E374F" w:rsidRPr="00BC36B7" w:rsidRDefault="006E374F" w:rsidP="00A728D7">
      <w:pPr>
        <w:pStyle w:val="Default"/>
        <w:rPr>
          <w:rFonts w:asciiTheme="minorHAnsi" w:hAnsiTheme="minorHAnsi"/>
          <w:b/>
          <w:bCs/>
        </w:rPr>
      </w:pPr>
    </w:p>
    <w:p w:rsidR="006E374F" w:rsidRPr="00BC36B7" w:rsidRDefault="006E374F" w:rsidP="006E374F">
      <w:pPr>
        <w:pStyle w:val="Default"/>
        <w:rPr>
          <w:rFonts w:asciiTheme="minorHAnsi" w:hAnsiTheme="minorHAnsi"/>
        </w:rPr>
      </w:pPr>
      <w:r w:rsidRPr="00BC36B7">
        <w:rPr>
          <w:rFonts w:asciiTheme="minorHAnsi" w:hAnsiTheme="minorHAnsi"/>
          <w:b/>
          <w:bCs/>
        </w:rPr>
        <w:t xml:space="preserve">(c) </w:t>
      </w:r>
      <w:r w:rsidRPr="00BC36B7">
        <w:rPr>
          <w:rFonts w:asciiTheme="minorHAnsi" w:hAnsiTheme="minorHAnsi"/>
        </w:rPr>
        <w:t xml:space="preserve">This would reduce the carrying costs of the goods meant for distribution. The costs can also be reduced by increasing efficiency in the distribution network. </w:t>
      </w:r>
    </w:p>
    <w:p w:rsidR="006E374F" w:rsidRPr="00BC36B7" w:rsidRDefault="006E374F" w:rsidP="006E374F">
      <w:pPr>
        <w:pStyle w:val="Default"/>
        <w:rPr>
          <w:rFonts w:asciiTheme="minorHAnsi" w:hAnsiTheme="minorHAnsi"/>
        </w:rPr>
      </w:pPr>
      <w:r w:rsidRPr="00BC36B7">
        <w:rPr>
          <w:rFonts w:asciiTheme="minorHAnsi" w:hAnsiTheme="minorHAnsi"/>
        </w:rPr>
        <w:t>Leakages during the movement of food grains, etc., need to be plugged. Proper and timely checks of the fair price shops, godown, etc., can also lower the cost of PDS operations and the total supply chain management. FCI has to ultimately ensure a cost-effective supply chain and, for this, appropriate modalities have to be worked out.</w:t>
      </w:r>
    </w:p>
    <w:p w:rsidR="006E374F" w:rsidRPr="00BC36B7" w:rsidRDefault="006E374F" w:rsidP="006E374F">
      <w:pPr>
        <w:pStyle w:val="Default"/>
        <w:rPr>
          <w:rFonts w:asciiTheme="minorHAnsi" w:hAnsiTheme="minorHAnsi"/>
          <w:b/>
          <w:bCs/>
        </w:rPr>
      </w:pPr>
    </w:p>
    <w:p w:rsidR="00890D28" w:rsidRPr="00BC36B7" w:rsidRDefault="00890D28" w:rsidP="00A728D7">
      <w:pPr>
        <w:pStyle w:val="Default"/>
        <w:rPr>
          <w:rFonts w:asciiTheme="minorHAnsi" w:hAnsiTheme="minorHAnsi"/>
          <w:b/>
          <w:bCs/>
        </w:rPr>
      </w:pPr>
    </w:p>
    <w:p w:rsidR="00FD5977" w:rsidRDefault="00FD5977" w:rsidP="00A728D7">
      <w:pPr>
        <w:pStyle w:val="Default"/>
        <w:rPr>
          <w:rFonts w:asciiTheme="minorHAnsi" w:hAnsiTheme="minorHAnsi"/>
          <w:b/>
          <w:bCs/>
        </w:rPr>
      </w:pPr>
    </w:p>
    <w:p w:rsidR="00FD5977" w:rsidRDefault="00FD5977" w:rsidP="00A728D7">
      <w:pPr>
        <w:pStyle w:val="Default"/>
        <w:rPr>
          <w:rFonts w:asciiTheme="minorHAnsi" w:hAnsiTheme="minorHAnsi"/>
          <w:b/>
          <w:bCs/>
        </w:rPr>
      </w:pPr>
    </w:p>
    <w:p w:rsidR="00890D28" w:rsidRDefault="00890D28" w:rsidP="00A728D7">
      <w:pPr>
        <w:pStyle w:val="Default"/>
        <w:rPr>
          <w:rFonts w:asciiTheme="minorHAnsi" w:hAnsiTheme="minorHAnsi"/>
          <w:b/>
          <w:bCs/>
        </w:rPr>
      </w:pPr>
      <w:r w:rsidRPr="00BC36B7">
        <w:rPr>
          <w:rFonts w:asciiTheme="minorHAnsi" w:hAnsiTheme="minorHAnsi"/>
          <w:b/>
          <w:bCs/>
        </w:rPr>
        <w:t>d) Component of Supply Chain Management:</w:t>
      </w:r>
    </w:p>
    <w:p w:rsidR="00FD5977" w:rsidRDefault="00FD5977" w:rsidP="00A728D7">
      <w:pPr>
        <w:pStyle w:val="Default"/>
        <w:rPr>
          <w:rFonts w:asciiTheme="minorHAnsi" w:hAnsiTheme="minorHAnsi"/>
          <w:b/>
          <w:bCs/>
        </w:rPr>
      </w:pPr>
    </w:p>
    <w:p w:rsidR="00890D28" w:rsidRPr="00BC36B7" w:rsidRDefault="00890D28" w:rsidP="00890D28">
      <w:pPr>
        <w:pStyle w:val="Pa10"/>
        <w:spacing w:after="100"/>
        <w:ind w:left="440" w:hanging="440"/>
        <w:jc w:val="both"/>
        <w:rPr>
          <w:rFonts w:asciiTheme="minorHAnsi" w:hAnsiTheme="minorHAnsi" w:cs="Century Gothic"/>
          <w:color w:val="000000"/>
        </w:rPr>
      </w:pPr>
      <w:r w:rsidRPr="00BC36B7">
        <w:rPr>
          <w:rFonts w:asciiTheme="minorHAnsi" w:hAnsiTheme="minorHAnsi" w:cs="Century Gothic"/>
          <w:b/>
          <w:bCs/>
          <w:color w:val="000000"/>
        </w:rPr>
        <w:lastRenderedPageBreak/>
        <w:t xml:space="preserve">1. Plan: </w:t>
      </w:r>
      <w:r w:rsidRPr="00BC36B7">
        <w:rPr>
          <w:rFonts w:asciiTheme="minorHAnsi" w:hAnsiTheme="minorHAnsi" w:cs="Century Gothic"/>
          <w:color w:val="000000"/>
        </w:rPr>
        <w:t xml:space="preserve">This is the strategic portion of SCM. You need a strategy for managing all the resources that go toward the meeting customer demand for your product and services. </w:t>
      </w:r>
    </w:p>
    <w:p w:rsidR="00890D28" w:rsidRPr="00BC36B7" w:rsidRDefault="00890D28" w:rsidP="00890D28">
      <w:pPr>
        <w:pStyle w:val="Pa10"/>
        <w:spacing w:after="100"/>
        <w:ind w:left="440" w:hanging="440"/>
        <w:jc w:val="both"/>
        <w:rPr>
          <w:rFonts w:asciiTheme="minorHAnsi" w:hAnsiTheme="minorHAnsi" w:cs="Century Gothic"/>
          <w:color w:val="000000"/>
        </w:rPr>
      </w:pPr>
      <w:r w:rsidRPr="00BC36B7">
        <w:rPr>
          <w:rFonts w:asciiTheme="minorHAnsi" w:hAnsiTheme="minorHAnsi" w:cs="Century Gothic"/>
          <w:b/>
          <w:bCs/>
          <w:color w:val="000000"/>
        </w:rPr>
        <w:t xml:space="preserve">2. Source: </w:t>
      </w:r>
      <w:r w:rsidRPr="00BC36B7">
        <w:rPr>
          <w:rFonts w:asciiTheme="minorHAnsi" w:hAnsiTheme="minorHAnsi" w:cs="Century Gothic"/>
          <w:color w:val="000000"/>
        </w:rPr>
        <w:t xml:space="preserve">Choose the suppliers that will deliver the goods and services you need to create your product. Develop a set of pricing, delivery and payment processes with suppliers and create metrics for monitoring and improving the relationships. </w:t>
      </w:r>
    </w:p>
    <w:p w:rsidR="00890D28" w:rsidRPr="00BC36B7" w:rsidRDefault="00890D28" w:rsidP="00890D28">
      <w:pPr>
        <w:pStyle w:val="Pa10"/>
        <w:spacing w:after="100"/>
        <w:ind w:left="440" w:hanging="440"/>
        <w:jc w:val="both"/>
        <w:rPr>
          <w:rFonts w:asciiTheme="minorHAnsi" w:hAnsiTheme="minorHAnsi" w:cs="Century Gothic"/>
          <w:color w:val="000000"/>
        </w:rPr>
      </w:pPr>
      <w:r w:rsidRPr="00BC36B7">
        <w:rPr>
          <w:rFonts w:asciiTheme="minorHAnsi" w:hAnsiTheme="minorHAnsi" w:cs="Century Gothic"/>
          <w:b/>
          <w:bCs/>
          <w:color w:val="000000"/>
        </w:rPr>
        <w:t xml:space="preserve">3. Make: </w:t>
      </w:r>
      <w:r w:rsidRPr="00BC36B7">
        <w:rPr>
          <w:rFonts w:asciiTheme="minorHAnsi" w:hAnsiTheme="minorHAnsi" w:cs="Century Gothic"/>
          <w:color w:val="000000"/>
        </w:rPr>
        <w:t xml:space="preserve">This is the manufacturing step. Schedule the activities necessary for production, testing, packaging and preparation for delivery. </w:t>
      </w:r>
    </w:p>
    <w:p w:rsidR="00890D28" w:rsidRPr="00BC36B7" w:rsidRDefault="00890D28" w:rsidP="00890D28">
      <w:pPr>
        <w:pStyle w:val="Pa10"/>
        <w:spacing w:after="100"/>
        <w:ind w:left="440" w:hanging="440"/>
        <w:jc w:val="both"/>
        <w:rPr>
          <w:rFonts w:asciiTheme="minorHAnsi" w:hAnsiTheme="minorHAnsi" w:cs="Century Gothic"/>
          <w:color w:val="000000"/>
        </w:rPr>
      </w:pPr>
      <w:r w:rsidRPr="00BC36B7">
        <w:rPr>
          <w:rFonts w:asciiTheme="minorHAnsi" w:hAnsiTheme="minorHAnsi" w:cs="Century Gothic"/>
          <w:b/>
          <w:bCs/>
          <w:color w:val="000000"/>
        </w:rPr>
        <w:t xml:space="preserve">4. Deliver: </w:t>
      </w:r>
      <w:r w:rsidRPr="00BC36B7">
        <w:rPr>
          <w:rFonts w:asciiTheme="minorHAnsi" w:hAnsiTheme="minorHAnsi" w:cs="Century Gothic"/>
          <w:color w:val="000000"/>
        </w:rPr>
        <w:t xml:space="preserve">This is the part that many insiders refer to as logistics. Coordinate the receipt of orders from customers, develop a network of warehouses, pick carriers to get products to customers and set up an invoicing system to receive payments. </w:t>
      </w:r>
    </w:p>
    <w:p w:rsidR="00890D28" w:rsidRPr="00BC36B7" w:rsidRDefault="00890D28" w:rsidP="00890D28">
      <w:pPr>
        <w:pStyle w:val="Default"/>
        <w:rPr>
          <w:rFonts w:asciiTheme="minorHAnsi" w:hAnsiTheme="minorHAnsi"/>
        </w:rPr>
      </w:pPr>
      <w:r w:rsidRPr="00BC36B7">
        <w:rPr>
          <w:rFonts w:asciiTheme="minorHAnsi" w:hAnsiTheme="minorHAnsi"/>
          <w:b/>
          <w:bCs/>
        </w:rPr>
        <w:t xml:space="preserve">5. Return: </w:t>
      </w:r>
      <w:r w:rsidRPr="00BC36B7">
        <w:rPr>
          <w:rFonts w:asciiTheme="minorHAnsi" w:hAnsiTheme="minorHAnsi"/>
        </w:rPr>
        <w:t>The problem part of the supply chain. Create a network for receiving defective and excess products back from customers and supporting customers who have problems with delivered products.</w:t>
      </w:r>
    </w:p>
    <w:sectPr w:rsidR="00890D28" w:rsidRPr="00BC36B7" w:rsidSect="001B00A2">
      <w:pgSz w:w="12240" w:h="15840"/>
      <w:pgMar w:top="810" w:right="1440" w:bottom="1350" w:left="108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016A" w:rsidRPr="00FD5977" w:rsidRDefault="001B016A" w:rsidP="00FD5977">
      <w:pPr>
        <w:pStyle w:val="Default"/>
        <w:rPr>
          <w:rFonts w:asciiTheme="minorHAnsi" w:hAnsiTheme="minorHAnsi" w:cstheme="minorBidi"/>
          <w:color w:val="auto"/>
          <w:sz w:val="22"/>
          <w:szCs w:val="22"/>
        </w:rPr>
      </w:pPr>
      <w:r>
        <w:separator/>
      </w:r>
    </w:p>
  </w:endnote>
  <w:endnote w:type="continuationSeparator" w:id="1">
    <w:p w:rsidR="001B016A" w:rsidRPr="00FD5977" w:rsidRDefault="001B016A" w:rsidP="00FD5977">
      <w:pPr>
        <w:pStyle w:val="Default"/>
        <w:rPr>
          <w:rFonts w:asciiTheme="minorHAnsi" w:hAnsiTheme="minorHAnsi" w:cstheme="minorBidi"/>
          <w:color w:val="auto"/>
          <w:sz w:val="22"/>
          <w:szCs w:val="22"/>
        </w:rPr>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skerville Old Face">
    <w:panose1 w:val="02020602080505020303"/>
    <w:charset w:val="00"/>
    <w:family w:val="roman"/>
    <w:pitch w:val="variable"/>
    <w:sig w:usb0="00000003" w:usb1="00000000" w:usb2="00000000" w:usb3="00000000" w:csb0="00000001" w:csb1="00000000"/>
  </w:font>
  <w:font w:name="TTFF4BA0E8t00">
    <w:panose1 w:val="00000000000000000000"/>
    <w:charset w:val="00"/>
    <w:family w:val="auto"/>
    <w:notTrueType/>
    <w:pitch w:val="default"/>
    <w:sig w:usb0="00000003" w:usb1="00000000" w:usb2="00000000" w:usb3="00000000" w:csb0="00000001" w:csb1="00000000"/>
  </w:font>
  <w:font w:name="Rupee Foradian">
    <w:altName w:val="Rupee Foradi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016A" w:rsidRPr="00FD5977" w:rsidRDefault="001B016A" w:rsidP="00FD5977">
      <w:pPr>
        <w:pStyle w:val="Default"/>
        <w:rPr>
          <w:rFonts w:asciiTheme="minorHAnsi" w:hAnsiTheme="minorHAnsi" w:cstheme="minorBidi"/>
          <w:color w:val="auto"/>
          <w:sz w:val="22"/>
          <w:szCs w:val="22"/>
        </w:rPr>
      </w:pPr>
      <w:r>
        <w:separator/>
      </w:r>
    </w:p>
  </w:footnote>
  <w:footnote w:type="continuationSeparator" w:id="1">
    <w:p w:rsidR="001B016A" w:rsidRPr="00FD5977" w:rsidRDefault="001B016A" w:rsidP="00FD5977">
      <w:pPr>
        <w:pStyle w:val="Default"/>
        <w:rPr>
          <w:rFonts w:asciiTheme="minorHAnsi" w:hAnsiTheme="minorHAnsi" w:cstheme="minorBidi"/>
          <w:color w:val="auto"/>
          <w:sz w:val="22"/>
          <w:szCs w:val="22"/>
        </w:rPr>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6D4047"/>
    <w:rsid w:val="000449B2"/>
    <w:rsid w:val="00144024"/>
    <w:rsid w:val="001A021A"/>
    <w:rsid w:val="001B00A2"/>
    <w:rsid w:val="001B016A"/>
    <w:rsid w:val="003325B3"/>
    <w:rsid w:val="00352C92"/>
    <w:rsid w:val="003C7C2C"/>
    <w:rsid w:val="004C37AF"/>
    <w:rsid w:val="00516AF7"/>
    <w:rsid w:val="006D4047"/>
    <w:rsid w:val="006E374F"/>
    <w:rsid w:val="006E548E"/>
    <w:rsid w:val="007172EA"/>
    <w:rsid w:val="00773C75"/>
    <w:rsid w:val="007C7E16"/>
    <w:rsid w:val="00857C9A"/>
    <w:rsid w:val="008740D2"/>
    <w:rsid w:val="00890D28"/>
    <w:rsid w:val="00937A35"/>
    <w:rsid w:val="009F1B6D"/>
    <w:rsid w:val="00A251A7"/>
    <w:rsid w:val="00A728D7"/>
    <w:rsid w:val="00B05B53"/>
    <w:rsid w:val="00B43B2F"/>
    <w:rsid w:val="00B70B9B"/>
    <w:rsid w:val="00B74145"/>
    <w:rsid w:val="00BC36B7"/>
    <w:rsid w:val="00C1297B"/>
    <w:rsid w:val="00C2274A"/>
    <w:rsid w:val="00CC3392"/>
    <w:rsid w:val="00E205A0"/>
    <w:rsid w:val="00FD59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2274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6D4047"/>
    <w:pPr>
      <w:autoSpaceDE w:val="0"/>
      <w:autoSpaceDN w:val="0"/>
      <w:adjustRightInd w:val="0"/>
      <w:spacing w:after="0" w:line="240" w:lineRule="auto"/>
    </w:pPr>
    <w:rPr>
      <w:rFonts w:ascii="Century Gothic" w:hAnsi="Century Gothic" w:cs="Century Gothic"/>
      <w:color w:val="000000"/>
      <w:sz w:val="24"/>
      <w:szCs w:val="24"/>
    </w:rPr>
  </w:style>
  <w:style w:type="paragraph" w:styleId="BalloonText">
    <w:name w:val="Balloon Text"/>
    <w:basedOn w:val="Normal"/>
    <w:link w:val="BalloonTextChar"/>
    <w:uiPriority w:val="99"/>
    <w:semiHidden/>
    <w:unhideWhenUsed/>
    <w:rsid w:val="003C7C2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C7C2C"/>
    <w:rPr>
      <w:rFonts w:ascii="Tahoma" w:hAnsi="Tahoma" w:cs="Tahoma"/>
      <w:sz w:val="16"/>
      <w:szCs w:val="16"/>
    </w:rPr>
  </w:style>
  <w:style w:type="paragraph" w:customStyle="1" w:styleId="Pa30">
    <w:name w:val="Pa30"/>
    <w:basedOn w:val="Default"/>
    <w:next w:val="Default"/>
    <w:uiPriority w:val="99"/>
    <w:rsid w:val="00A728D7"/>
    <w:pPr>
      <w:spacing w:line="201" w:lineRule="atLeast"/>
    </w:pPr>
    <w:rPr>
      <w:rFonts w:cstheme="minorBidi"/>
      <w:color w:val="auto"/>
    </w:rPr>
  </w:style>
  <w:style w:type="paragraph" w:customStyle="1" w:styleId="Pa10">
    <w:name w:val="Pa10"/>
    <w:basedOn w:val="Default"/>
    <w:next w:val="Default"/>
    <w:uiPriority w:val="99"/>
    <w:rsid w:val="00A728D7"/>
    <w:pPr>
      <w:spacing w:line="201" w:lineRule="atLeast"/>
    </w:pPr>
    <w:rPr>
      <w:rFonts w:cstheme="minorBidi"/>
      <w:color w:val="auto"/>
    </w:rPr>
  </w:style>
  <w:style w:type="table" w:styleId="TableGrid">
    <w:name w:val="Table Grid"/>
    <w:basedOn w:val="TableNormal"/>
    <w:uiPriority w:val="59"/>
    <w:rsid w:val="00352C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FD597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D5977"/>
  </w:style>
  <w:style w:type="paragraph" w:styleId="Footer">
    <w:name w:val="footer"/>
    <w:basedOn w:val="Normal"/>
    <w:link w:val="FooterChar"/>
    <w:uiPriority w:val="99"/>
    <w:semiHidden/>
    <w:unhideWhenUsed/>
    <w:rsid w:val="00FD597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D5977"/>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2439</Words>
  <Characters>13907</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16314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system</dc:creator>
  <cp:keywords/>
  <dc:description/>
  <cp:lastModifiedBy>system</cp:lastModifiedBy>
  <cp:revision>24</cp:revision>
  <dcterms:created xsi:type="dcterms:W3CDTF">2014-07-14T10:02:00Z</dcterms:created>
  <dcterms:modified xsi:type="dcterms:W3CDTF">2014-07-26T05:14:00Z</dcterms:modified>
</cp:coreProperties>
</file>